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asciiTheme="majorEastAsia" w:hAnsiTheme="majorEastAsia" w:eastAsiaTheme="majorEastAsia"/>
          <w:b/>
          <w:sz w:val="36"/>
          <w:szCs w:val="36"/>
        </w:rPr>
        <w:t>中国（西南）晚熟柑桔交易中心（眉山电商生态 产业聚集中心）项目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土方设计说明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>
        <w:rPr>
          <w:b/>
          <w:sz w:val="28"/>
          <w:szCs w:val="28"/>
        </w:rPr>
        <w:t>项目概况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1、项目名称：中国（西南）晚熟柑桔交易中心（眉山电商生态产业聚集中心）项目；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2、建设单位：眉山市永惠农业发展投资有限公司；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3、项目性质：新建；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4、建设地点：四川省眉山市东坡区尚义镇；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5、计划用地：规划总占地约 257 亩；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6、建设规模及内容：项目规划用地 171065.85 ㎡（约合 257 亩），建筑总占地面积 59607.5 ㎡，计入容积率面积 87655 ㎡，总建筑面积 67285 ㎡，其中交易市场 2210 ㎡，展销中心 4690 ㎡，商业管理用房 3120 ㎡，线上直播间 2600 ㎡，前处理车间 4875 ㎡，分选中心 10700 ㎡，高架冷库 20370 ㎡，低架冷库 14000 ㎡，废果处理中心 2400 ㎡，包装箱加工/周转中心 1800 ㎡，公共配套设施 520 ㎡，容积率 0.51，建筑密度 34.84％，绿地率 19.30％，机动车停车位 270 个。</w:t>
      </w:r>
    </w:p>
    <w:p>
      <w:pPr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本图为项目场平专篇.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本次设计土方</w:t>
      </w:r>
      <w:r>
        <w:rPr>
          <w:rFonts w:hint="eastAsia"/>
          <w:sz w:val="28"/>
          <w:szCs w:val="28"/>
          <w:lang w:val="en-US" w:eastAsia="zh-CN"/>
        </w:rPr>
        <w:t>需</w:t>
      </w:r>
      <w:r>
        <w:rPr>
          <w:rFonts w:hint="eastAsia"/>
          <w:sz w:val="28"/>
          <w:szCs w:val="28"/>
        </w:rPr>
        <w:t>挖方</w:t>
      </w:r>
      <w:r>
        <w:rPr>
          <w:sz w:val="28"/>
          <w:szCs w:val="28"/>
        </w:rPr>
        <w:t>280802.333</w:t>
      </w:r>
      <w:r>
        <w:rPr>
          <w:rFonts w:hint="eastAsia"/>
          <w:sz w:val="28"/>
          <w:szCs w:val="28"/>
        </w:rPr>
        <w:t>m³，填方</w:t>
      </w:r>
      <w:r>
        <w:rPr>
          <w:sz w:val="28"/>
          <w:szCs w:val="28"/>
        </w:rPr>
        <w:t>99274.134</w:t>
      </w:r>
      <w:r>
        <w:rPr>
          <w:rFonts w:hint="eastAsia"/>
          <w:sz w:val="28"/>
          <w:szCs w:val="28"/>
        </w:rPr>
        <w:t>m³，其中水产养殖基地</w:t>
      </w:r>
      <w:r>
        <w:rPr>
          <w:rFonts w:hint="eastAsia"/>
          <w:sz w:val="28"/>
          <w:szCs w:val="28"/>
          <w:lang w:val="en-US" w:eastAsia="zh-CN"/>
        </w:rPr>
        <w:t>因</w:t>
      </w:r>
      <w:r>
        <w:rPr>
          <w:rFonts w:hint="eastAsia"/>
          <w:sz w:val="28"/>
          <w:szCs w:val="28"/>
        </w:rPr>
        <w:t>填方</w:t>
      </w:r>
      <w:r>
        <w:rPr>
          <w:rFonts w:hint="eastAsia"/>
          <w:sz w:val="28"/>
          <w:szCs w:val="28"/>
          <w:lang w:val="en-US" w:eastAsia="zh-CN"/>
        </w:rPr>
        <w:t>需要已在场地内挖方</w:t>
      </w:r>
      <w:r>
        <w:rPr>
          <w:rFonts w:hint="eastAsia"/>
          <w:sz w:val="28"/>
          <w:szCs w:val="28"/>
        </w:rPr>
        <w:t>约</w:t>
      </w:r>
      <w:r>
        <w:rPr>
          <w:rFonts w:hint="eastAsia"/>
          <w:sz w:val="28"/>
          <w:szCs w:val="28"/>
          <w:lang w:val="en-US" w:eastAsia="zh-CN"/>
        </w:rPr>
        <w:t>80</w:t>
      </w:r>
      <w:r>
        <w:rPr>
          <w:rFonts w:hint="eastAsia"/>
          <w:sz w:val="28"/>
          <w:szCs w:val="28"/>
        </w:rPr>
        <w:t>000m³在场地内，</w:t>
      </w:r>
      <w:r>
        <w:rPr>
          <w:rFonts w:hint="eastAsia"/>
          <w:sz w:val="28"/>
          <w:szCs w:val="28"/>
          <w:lang w:val="en-US" w:eastAsia="zh-CN"/>
        </w:rPr>
        <w:t>项目厂房内需填筑月台，预留约80000m³在场地内不外运，本次挖方共需外运土方为132205.909m³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val="en-US" w:eastAsia="zh-CN"/>
        </w:rPr>
        <w:t>外运</w:t>
      </w:r>
      <w:r>
        <w:rPr>
          <w:rFonts w:hint="eastAsia"/>
          <w:sz w:val="28"/>
          <w:szCs w:val="28"/>
        </w:rPr>
        <w:t>土方填埋在业主指定的填埋场。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2.场平施工要求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场平须按照</w:t>
      </w:r>
      <w:r>
        <w:rPr>
          <w:sz w:val="28"/>
          <w:szCs w:val="28"/>
        </w:rPr>
        <w:t>设计标高</w:t>
      </w:r>
      <w:r>
        <w:rPr>
          <w:rFonts w:hint="eastAsia"/>
          <w:sz w:val="28"/>
          <w:szCs w:val="28"/>
        </w:rPr>
        <w:t>进行施工作业</w:t>
      </w:r>
      <w:r>
        <w:rPr>
          <w:sz w:val="28"/>
          <w:szCs w:val="28"/>
        </w:rPr>
        <w:t>。</w:t>
      </w:r>
    </w:p>
    <w:p>
      <w:pPr>
        <w:ind w:firstLine="480"/>
        <w:rPr>
          <w:sz w:val="28"/>
          <w:szCs w:val="28"/>
        </w:rPr>
      </w:pPr>
      <w:bookmarkStart w:id="0" w:name="_Toc373139199"/>
      <w:r>
        <w:rPr>
          <w:rFonts w:hint="eastAsia"/>
          <w:sz w:val="28"/>
          <w:szCs w:val="28"/>
        </w:rPr>
        <w:t>2.1</w:t>
      </w:r>
      <w:r>
        <w:rPr>
          <w:sz w:val="28"/>
          <w:szCs w:val="28"/>
        </w:rPr>
        <w:t>路基压实度标准</w:t>
      </w:r>
      <w:bookmarkEnd w:id="0"/>
    </w:p>
    <w:p>
      <w:pPr>
        <w:ind w:firstLine="480"/>
        <w:rPr>
          <w:sz w:val="28"/>
          <w:szCs w:val="28"/>
        </w:rPr>
      </w:pPr>
      <w:r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场平压实度不得低于94%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本次设计图纸未考虑挖（填）方土体的放大系数。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2.2</w:t>
      </w:r>
      <w:r>
        <w:rPr>
          <w:sz w:val="28"/>
          <w:szCs w:val="28"/>
        </w:rPr>
        <w:t>土石方及填料要求</w:t>
      </w:r>
    </w:p>
    <w:p>
      <w:pPr>
        <w:ind w:firstLine="480"/>
        <w:rPr>
          <w:sz w:val="28"/>
          <w:szCs w:val="28"/>
        </w:rPr>
      </w:pPr>
      <w:r>
        <w:rPr>
          <w:sz w:val="28"/>
          <w:szCs w:val="28"/>
        </w:rPr>
        <w:t>宜选用级配较好的粗粒土作为填料。砾类土、砂类土应优先选作填料。有采用不同填料填筑时，应分层填筑，不得混填，强度低的土</w:t>
      </w:r>
      <w:r>
        <w:rPr>
          <w:rFonts w:hint="eastAsia"/>
          <w:sz w:val="28"/>
          <w:szCs w:val="28"/>
        </w:rPr>
        <w:t>，不宜采用膨胀性等不良地质作为填土</w:t>
      </w:r>
      <w:r>
        <w:rPr>
          <w:sz w:val="28"/>
          <w:szCs w:val="28"/>
        </w:rPr>
        <w:t>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2.3、边坡</w:t>
      </w:r>
    </w:p>
    <w:p>
      <w:pPr>
        <w:ind w:firstLine="48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沿线地形起伏稍大，局部填挖高度较大，一般对填方部分采用1:1.5边坡，挖方部分采用1：1放坡处理，为保证边坡稳定性，挖方坡面汇水顺利排走，所有挖方边坡坡脚设置0.6×0.6的梯形土沟作为临时排水沟，排水方向根据现场实际情况调整；边坡采用对自然放坡形成的坡面进行生态形式的处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坡面采用植草护坡。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2.4、基础处理</w:t>
      </w:r>
      <w:bookmarkStart w:id="1" w:name="_GoBack"/>
      <w:bookmarkEnd w:id="1"/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根据相关资料，范围内无断层，泥石流、地下采空区等不良地质作用，不良工程地质作用，主要为杂填土等。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3.施工注意事项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3.1施工准备工作包括征用土地，拆迁、平整场地及部分临时工程(如便道、临时房屋、电力、电讯等)。在此期间，部分路基土的备土工作也应安排进行。临时设施的某些工程，可根据工程进展需要确定实施时间。便涵的修建应充分注意当地水网和农田水利设施，不能影响泄洪、排涝和农田灌溉。施工队伍生活基地、施工场地安排除了考虑生活、生产及安全方面的要求外，还应考虑环境因素，作好环境保护，避免干扰居民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3.2材料开采和运输贯穿整个建设期，应妥善安排。沿线石料、砂、碎石等均有分布，可常年供应。材料运输以汽车为主。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3.3本项目工程量不大，但技术要求较高，应安排有经验的施工队伍，采用机械化施工。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建议以机械为主辅以人工施工，配以挖掘机、装载机和自卸翻斗车运送所需土石方。对填方工程则以装载机械或推土机伴以人工找平，能采用平地机找平更好，碾压密实，作业中应根据具体情况，注意调整各种机械的配套，避免发生窝工现象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4.环境保护及水土保持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4.1环境保护及水土保持内容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城市道路、排水工程，在建设期对沿线社会环境、自然环境会产生不良影响。在设计、施工中应采取必要的对策和措施，使环境污染降低到最低程度。科学预测水土流失情况，合理制定防治措施，提高水保效果，减少工程投资，改善生态环境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4.2环境保护措施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路面施工中，面层、基层均采用拌和站集中拌和，在拌和中会产生有害气体和粉尘，对周围大气环境产生污染。所以本项目在实施阶段，拌和站必须布设在距居民区500m以外的常年下风位置，且距河流及饮用水源的距离不小于200m，地下水位的深度大于2.0m以上处。拌和站建立时还应采取有效的消烟除尘措施，减少有害气体的排放量，并在取得施工所在地环保部门的测定允许后方可予以生产。在运输、堆放易于扬尘的筑路材料路段中，应采取可靠的遮盖措施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此外，施工驻地的废污水及生活垃圾的排放将破坏环境卫生，引发疾病，影响工人及居民健康；施工机械作业时排放大量的废气产生污染公害；大量施工机械作业产生超过居民区噪音标准的噪声污染，特别是夜间施工的噪声尤为影响居民的安宁及休息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因此，在项目实施过程中，建设管理单位与现场工程监理应认真检查各施工单位的环保措施，加强对施工驻地排污问题、施工现场的设置堆放和施工机械作业的废气排放量检测，以及对施工机械的噪声环境保护问题进行认真的不间断检查，力求将施工期对环境的污染减少到最低限度。工程建设管理单位在对竣工的各项工程初验同时，应按设计文件中对环境保护设计的实施情况进行检查，特别是临时占地的复垦返田工作的执行情况，及时清理施工现场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4.3水土保持措施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水土保持措施包括工程措施、植物措施和临时措施三类。以工程措施控制大面积、高强度流失区域，并为植物措施与临时措施的实施创造条件；同时以植物措施、临时措施与工程措施配套，提高水保效果、减少工程投资、改善生态环境。为保证本方案设计中水土保持防治措施的落实，建议业主与当地水保部门密切配合，做好水土保持措施的监督管理工作，实行水土流失监测制度和水土保持工程监理制度；主体工程施工组织设计中应将水土保持方案各项措施一并纳入，以便水保措施得到更好的落实与实施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5、其他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5.1其他附属设施的施工应按照相关设计图及施工规范进行。</w:t>
      </w:r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5.2排水工程、照明工程设计等相关专业设计说明详相关专业设计图。</w:t>
      </w:r>
    </w:p>
    <w:p>
      <w:pPr>
        <w:ind w:firstLine="480"/>
        <w:rPr>
          <w:rFonts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5.3施工中发现问题，或设计资料之间、设计与现场情况之间有不符之处，应及时通知设计单位，以会同建设单位、监理单位及质监等部门共同研究处理，以确保工程质量。</w:t>
      </w:r>
    </w:p>
    <w:p>
      <w:pPr>
        <w:spacing w:line="360" w:lineRule="auto"/>
        <w:ind w:firstLine="571" w:firstLineChars="203"/>
        <w:rPr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未尽事宜参照相关国家相关规程、规范执行。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23D5"/>
    <w:rsid w:val="00055DEE"/>
    <w:rsid w:val="001A7F35"/>
    <w:rsid w:val="00223A3C"/>
    <w:rsid w:val="00662EDD"/>
    <w:rsid w:val="007641CC"/>
    <w:rsid w:val="008D5CDC"/>
    <w:rsid w:val="00A739CC"/>
    <w:rsid w:val="00D423D5"/>
    <w:rsid w:val="00DC5F4B"/>
    <w:rsid w:val="00F607BC"/>
    <w:rsid w:val="6B4C7F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358</Words>
  <Characters>2043</Characters>
  <Lines>17</Lines>
  <Paragraphs>4</Paragraphs>
  <TotalTime>57</TotalTime>
  <ScaleCrop>false</ScaleCrop>
  <LinksUpToDate>false</LinksUpToDate>
  <CharactersWithSpaces>2397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2021-03-24T00:28:00Z</dcterms:created>
  <dc:creator>Windows 用户</dc:creator>
  <cp:lastModifiedBy>歌迷</cp:lastModifiedBy>
  <dcterms:modified xsi:type="dcterms:W3CDTF">2021-06-06T04:15:13Z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