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2-松江便民服务中心计算书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 xml:space="preserve">项目编号: </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松江镇便民服务中心</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陈欣</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蒲正满</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校核人: 李果</w:t>
            </w:r>
          </w:p>
        </w:tc>
        <w:tc>
          <w:tcPr>
            <w:tcW w:w="4195" w:type="dxa"/>
            <w:shd w:val="clear" w:color="auto" w:fill="FFFFFF"/>
          </w:tcPr>
          <w:p>
            <w:pPr>
              <w:jc w:val="left"/>
            </w:pPr>
            <w:r>
              <w:rPr>
                <w:rFonts w:hint="eastAsia" w:ascii="宋体" w:eastAsia="宋体"/>
                <w:b w:val="0"/>
                <w:color w:val="000000"/>
                <w:sz w:val="28"/>
                <w:szCs w:val="28"/>
                <w:shd w:val="clear" w:color="auto" w:fill="FFFFFF"/>
              </w:rPr>
              <w:t>日期: 2022-02</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成都美厦建筑设计有限公司</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21356"/>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21356"/>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21356"/>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21356"/>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21356"/>
            </w:tabs>
          </w:pPr>
          <w:r>
            <w:fldChar w:fldCharType="begin"/>
          </w:r>
          <w:r>
            <w:instrText xml:space="preserve"> HYPERLINK \l "_Toc4" \h </w:instrText>
          </w:r>
          <w:r>
            <w:fldChar w:fldCharType="separate"/>
          </w:r>
          <w:r>
            <w:t>五. 结构模型概况</w:t>
          </w:r>
          <w:r>
            <w:tab/>
          </w:r>
          <w:r>
            <w:fldChar w:fldCharType="begin"/>
          </w:r>
          <w:r>
            <w:instrText xml:space="preserve"> PAGEREF _Toc4 \h </w:instrText>
          </w:r>
          <w:r>
            <w:fldChar w:fldCharType="separate"/>
          </w:r>
          <w:r>
            <w:fldChar w:fldCharType="end"/>
          </w:r>
          <w:r>
            <w:fldChar w:fldCharType="end"/>
          </w:r>
        </w:p>
        <w:p>
          <w:pPr>
            <w:pStyle w:val="15"/>
            <w:tabs>
              <w:tab w:val="right" w:leader="dot" w:pos="21356"/>
            </w:tabs>
          </w:pPr>
          <w:r>
            <w:fldChar w:fldCharType="begin"/>
          </w:r>
          <w:r>
            <w:instrText xml:space="preserve"> HYPERLINK \l "_Toc5" \h </w:instrText>
          </w:r>
          <w:r>
            <w:fldChar w:fldCharType="separate"/>
          </w:r>
          <w:r>
            <w:t>1. 系统总信息</w:t>
          </w:r>
          <w:r>
            <w:tab/>
          </w:r>
          <w:r>
            <w:fldChar w:fldCharType="begin"/>
          </w:r>
          <w:r>
            <w:instrText xml:space="preserve"> PAGEREF _Toc5 \h </w:instrText>
          </w:r>
          <w:r>
            <w:fldChar w:fldCharType="separate"/>
          </w:r>
          <w:r>
            <w:fldChar w:fldCharType="end"/>
          </w:r>
          <w:r>
            <w:fldChar w:fldCharType="end"/>
          </w:r>
        </w:p>
        <w:p>
          <w:pPr>
            <w:pStyle w:val="15"/>
            <w:tabs>
              <w:tab w:val="right" w:leader="dot" w:pos="21356"/>
            </w:tabs>
          </w:pPr>
          <w:r>
            <w:fldChar w:fldCharType="begin"/>
          </w:r>
          <w:r>
            <w:instrText xml:space="preserve"> HYPERLINK \l "_Toc6" \h </w:instrText>
          </w:r>
          <w:r>
            <w:fldChar w:fldCharType="separate"/>
          </w:r>
          <w:r>
            <w:t>2. 楼层信息</w:t>
          </w:r>
          <w:r>
            <w:tab/>
          </w:r>
          <w:r>
            <w:fldChar w:fldCharType="begin"/>
          </w:r>
          <w:r>
            <w:instrText xml:space="preserve"> PAGEREF _Toc6 \h </w:instrText>
          </w:r>
          <w:r>
            <w:fldChar w:fldCharType="separate"/>
          </w:r>
          <w:r>
            <w:fldChar w:fldCharType="end"/>
          </w:r>
          <w:r>
            <w:fldChar w:fldCharType="end"/>
          </w:r>
        </w:p>
        <w:p>
          <w:pPr>
            <w:pStyle w:val="15"/>
            <w:tabs>
              <w:tab w:val="right" w:leader="dot" w:pos="21356"/>
            </w:tabs>
          </w:pPr>
          <w:r>
            <w:fldChar w:fldCharType="begin"/>
          </w:r>
          <w:r>
            <w:instrText xml:space="preserve"> HYPERLINK \l "_Toc7" \h </w:instrText>
          </w:r>
          <w:r>
            <w:fldChar w:fldCharType="separate"/>
          </w:r>
          <w:r>
            <w:t>3. 各层等效尺寸</w:t>
          </w:r>
          <w:r>
            <w:tab/>
          </w:r>
          <w:r>
            <w:fldChar w:fldCharType="begin"/>
          </w:r>
          <w:r>
            <w:instrText xml:space="preserve"> PAGEREF _Toc7 \h </w:instrText>
          </w:r>
          <w:r>
            <w:fldChar w:fldCharType="separate"/>
          </w:r>
          <w:r>
            <w:fldChar w:fldCharType="end"/>
          </w:r>
          <w:r>
            <w:fldChar w:fldCharType="end"/>
          </w:r>
        </w:p>
        <w:p>
          <w:pPr>
            <w:pStyle w:val="15"/>
            <w:tabs>
              <w:tab w:val="right" w:leader="dot" w:pos="21356"/>
            </w:tabs>
          </w:pPr>
          <w:r>
            <w:fldChar w:fldCharType="begin"/>
          </w:r>
          <w:r>
            <w:instrText xml:space="preserve"> HYPERLINK \l "_Toc8" \h </w:instrText>
          </w:r>
          <w:r>
            <w:fldChar w:fldCharType="separate"/>
          </w:r>
          <w:r>
            <w:t>4. 层塔属性</w:t>
          </w:r>
          <w:r>
            <w:tab/>
          </w:r>
          <w:r>
            <w:fldChar w:fldCharType="begin"/>
          </w:r>
          <w:r>
            <w:instrText xml:space="preserve"> PAGEREF _Toc8 \h </w:instrText>
          </w:r>
          <w:r>
            <w:fldChar w:fldCharType="separate"/>
          </w:r>
          <w:r>
            <w:fldChar w:fldCharType="end"/>
          </w:r>
          <w:r>
            <w:fldChar w:fldCharType="end"/>
          </w:r>
        </w:p>
        <w:p>
          <w:pPr>
            <w:pStyle w:val="12"/>
            <w:tabs>
              <w:tab w:val="right" w:leader="dot" w:pos="21356"/>
            </w:tabs>
          </w:pPr>
          <w:r>
            <w:fldChar w:fldCharType="begin"/>
          </w:r>
          <w:r>
            <w:instrText xml:space="preserve"> HYPERLINK \l "_Toc9" \h </w:instrText>
          </w:r>
          <w:r>
            <w:fldChar w:fldCharType="separate"/>
          </w:r>
          <w:r>
            <w:t>六. 工况和组合</w:t>
          </w:r>
          <w:r>
            <w:tab/>
          </w:r>
          <w:r>
            <w:fldChar w:fldCharType="begin"/>
          </w:r>
          <w:r>
            <w:instrText xml:space="preserve"> PAGEREF _Toc9 \h </w:instrText>
          </w:r>
          <w:r>
            <w:fldChar w:fldCharType="separate"/>
          </w:r>
          <w:r>
            <w:fldChar w:fldCharType="end"/>
          </w:r>
          <w:r>
            <w:fldChar w:fldCharType="end"/>
          </w:r>
        </w:p>
        <w:p>
          <w:pPr>
            <w:pStyle w:val="15"/>
            <w:tabs>
              <w:tab w:val="right" w:leader="dot" w:pos="21356"/>
            </w:tabs>
          </w:pPr>
          <w:r>
            <w:fldChar w:fldCharType="begin"/>
          </w:r>
          <w:r>
            <w:instrText xml:space="preserve"> HYPERLINK \l "_Toc10" \h </w:instrText>
          </w:r>
          <w:r>
            <w:fldChar w:fldCharType="separate"/>
          </w:r>
          <w:r>
            <w:t>1. 工况设定</w:t>
          </w:r>
          <w:r>
            <w:tab/>
          </w:r>
          <w:r>
            <w:fldChar w:fldCharType="begin"/>
          </w:r>
          <w:r>
            <w:instrText xml:space="preserve"> PAGEREF _Toc10 \h </w:instrText>
          </w:r>
          <w:r>
            <w:fldChar w:fldCharType="separate"/>
          </w:r>
          <w:r>
            <w:fldChar w:fldCharType="end"/>
          </w:r>
          <w:r>
            <w:fldChar w:fldCharType="end"/>
          </w:r>
        </w:p>
        <w:p>
          <w:pPr>
            <w:pStyle w:val="15"/>
            <w:tabs>
              <w:tab w:val="right" w:leader="dot" w:pos="21356"/>
            </w:tabs>
          </w:pPr>
          <w:r>
            <w:fldChar w:fldCharType="begin"/>
          </w:r>
          <w:r>
            <w:instrText xml:space="preserve"> HYPERLINK \l "_Toc11" \h </w:instrText>
          </w:r>
          <w:r>
            <w:fldChar w:fldCharType="separate"/>
          </w:r>
          <w:r>
            <w:t>2. 工况信息</w:t>
          </w:r>
          <w:r>
            <w:tab/>
          </w:r>
          <w:r>
            <w:fldChar w:fldCharType="begin"/>
          </w:r>
          <w:r>
            <w:instrText xml:space="preserve"> PAGEREF _Toc11 \h </w:instrText>
          </w:r>
          <w:r>
            <w:fldChar w:fldCharType="separate"/>
          </w:r>
          <w:r>
            <w:fldChar w:fldCharType="end"/>
          </w:r>
          <w:r>
            <w:fldChar w:fldCharType="end"/>
          </w:r>
        </w:p>
        <w:p>
          <w:pPr>
            <w:pStyle w:val="15"/>
            <w:tabs>
              <w:tab w:val="right" w:leader="dot" w:pos="21356"/>
            </w:tabs>
          </w:pPr>
          <w:r>
            <w:fldChar w:fldCharType="begin"/>
          </w:r>
          <w:r>
            <w:instrText xml:space="preserve"> HYPERLINK \l "_Toc12" \h </w:instrText>
          </w:r>
          <w:r>
            <w:fldChar w:fldCharType="separate"/>
          </w:r>
          <w:r>
            <w:t>3. 构件内力基本组合系数</w:t>
          </w:r>
          <w:r>
            <w:tab/>
          </w:r>
          <w:r>
            <w:fldChar w:fldCharType="begin"/>
          </w:r>
          <w:r>
            <w:instrText xml:space="preserve"> PAGEREF _Toc12 \h </w:instrText>
          </w:r>
          <w:r>
            <w:fldChar w:fldCharType="separate"/>
          </w:r>
          <w:r>
            <w:fldChar w:fldCharType="end"/>
          </w:r>
          <w:r>
            <w:fldChar w:fldCharType="end"/>
          </w:r>
        </w:p>
        <w:p>
          <w:pPr>
            <w:pStyle w:val="12"/>
            <w:tabs>
              <w:tab w:val="right" w:leader="dot" w:pos="21356"/>
            </w:tabs>
          </w:pPr>
          <w:r>
            <w:fldChar w:fldCharType="begin"/>
          </w:r>
          <w:r>
            <w:instrText xml:space="preserve"> HYPERLINK \l "_Toc13" \h </w:instrText>
          </w:r>
          <w:r>
            <w:fldChar w:fldCharType="separate"/>
          </w:r>
          <w:r>
            <w:t>七. 质量信息</w:t>
          </w:r>
          <w:r>
            <w:tab/>
          </w:r>
          <w:r>
            <w:fldChar w:fldCharType="begin"/>
          </w:r>
          <w:r>
            <w:instrText xml:space="preserve"> PAGEREF _Toc13 \h </w:instrText>
          </w:r>
          <w:r>
            <w:fldChar w:fldCharType="separate"/>
          </w:r>
          <w:r>
            <w:fldChar w:fldCharType="end"/>
          </w:r>
          <w:r>
            <w:fldChar w:fldCharType="end"/>
          </w:r>
        </w:p>
        <w:p>
          <w:pPr>
            <w:pStyle w:val="15"/>
            <w:tabs>
              <w:tab w:val="right" w:leader="dot" w:pos="21356"/>
            </w:tabs>
          </w:pPr>
          <w:r>
            <w:fldChar w:fldCharType="begin"/>
          </w:r>
          <w:r>
            <w:instrText xml:space="preserve"> HYPERLINK \l "_Toc14" \h </w:instrText>
          </w:r>
          <w:r>
            <w:fldChar w:fldCharType="separate"/>
          </w:r>
          <w:r>
            <w:t>1. 结构质量分布</w:t>
          </w:r>
          <w:r>
            <w:tab/>
          </w:r>
          <w:r>
            <w:fldChar w:fldCharType="begin"/>
          </w:r>
          <w:r>
            <w:instrText xml:space="preserve"> PAGEREF _Toc14 \h </w:instrText>
          </w:r>
          <w:r>
            <w:fldChar w:fldCharType="separate"/>
          </w:r>
          <w:r>
            <w:fldChar w:fldCharType="end"/>
          </w:r>
          <w:r>
            <w:fldChar w:fldCharType="end"/>
          </w:r>
        </w:p>
        <w:p>
          <w:pPr>
            <w:pStyle w:val="15"/>
            <w:tabs>
              <w:tab w:val="right" w:leader="dot" w:pos="21356"/>
            </w:tabs>
          </w:pPr>
          <w:r>
            <w:fldChar w:fldCharType="begin"/>
          </w:r>
          <w:r>
            <w:instrText xml:space="preserve"> HYPERLINK \l "_Toc15" \h </w:instrText>
          </w:r>
          <w:r>
            <w:fldChar w:fldCharType="separate"/>
          </w:r>
          <w:r>
            <w:t>2. 各层刚心、偏心率信息</w:t>
          </w:r>
          <w:r>
            <w:tab/>
          </w:r>
          <w:r>
            <w:fldChar w:fldCharType="begin"/>
          </w:r>
          <w:r>
            <w:instrText xml:space="preserve"> PAGEREF _Toc15 \h </w:instrText>
          </w:r>
          <w:r>
            <w:fldChar w:fldCharType="separate"/>
          </w:r>
          <w:r>
            <w:fldChar w:fldCharType="end"/>
          </w:r>
          <w:r>
            <w:fldChar w:fldCharType="end"/>
          </w:r>
        </w:p>
        <w:p>
          <w:pPr>
            <w:pStyle w:val="12"/>
            <w:tabs>
              <w:tab w:val="right" w:leader="dot" w:pos="21356"/>
            </w:tabs>
          </w:pPr>
          <w:r>
            <w:fldChar w:fldCharType="begin"/>
          </w:r>
          <w:r>
            <w:instrText xml:space="preserve"> HYPERLINK \l "_Toc16" \h </w:instrText>
          </w:r>
          <w:r>
            <w:fldChar w:fldCharType="separate"/>
          </w:r>
          <w:r>
            <w:t>八. 荷载信息</w:t>
          </w:r>
          <w:r>
            <w:tab/>
          </w:r>
          <w:r>
            <w:fldChar w:fldCharType="begin"/>
          </w:r>
          <w:r>
            <w:instrText xml:space="preserve"> PAGEREF _Toc16 \h </w:instrText>
          </w:r>
          <w:r>
            <w:fldChar w:fldCharType="separate"/>
          </w:r>
          <w:r>
            <w:fldChar w:fldCharType="end"/>
          </w:r>
          <w:r>
            <w:fldChar w:fldCharType="end"/>
          </w:r>
        </w:p>
        <w:p>
          <w:pPr>
            <w:pStyle w:val="15"/>
            <w:tabs>
              <w:tab w:val="right" w:leader="dot" w:pos="21356"/>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pPr>
            <w:pStyle w:val="12"/>
            <w:tabs>
              <w:tab w:val="right" w:leader="dot" w:pos="21356"/>
            </w:tabs>
          </w:pPr>
          <w:r>
            <w:fldChar w:fldCharType="begin"/>
          </w:r>
          <w:r>
            <w:instrText xml:space="preserve"> HYPERLINK \l "_Toc18" \h </w:instrText>
          </w:r>
          <w:r>
            <w:fldChar w:fldCharType="separate"/>
          </w:r>
          <w:r>
            <w:t>九. 立面规则性</w:t>
          </w:r>
          <w:r>
            <w:tab/>
          </w:r>
          <w:r>
            <w:fldChar w:fldCharType="begin"/>
          </w:r>
          <w:r>
            <w:instrText xml:space="preserve"> PAGEREF _Toc18 \h </w:instrText>
          </w:r>
          <w:r>
            <w:fldChar w:fldCharType="separate"/>
          </w:r>
          <w:r>
            <w:fldChar w:fldCharType="end"/>
          </w:r>
          <w:r>
            <w:fldChar w:fldCharType="end"/>
          </w:r>
        </w:p>
        <w:p>
          <w:pPr>
            <w:pStyle w:val="15"/>
            <w:tabs>
              <w:tab w:val="right" w:leader="dot" w:pos="21356"/>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pPr>
            <w:pStyle w:val="15"/>
            <w:tabs>
              <w:tab w:val="right" w:leader="dot" w:pos="21356"/>
            </w:tabs>
          </w:pPr>
          <w:r>
            <w:fldChar w:fldCharType="begin"/>
          </w:r>
          <w:r>
            <w:instrText xml:space="preserve"> HYPERLINK \l "_Toc20" \h </w:instrText>
          </w:r>
          <w:r>
            <w:fldChar w:fldCharType="separate"/>
          </w:r>
          <w:r>
            <w:t>2. [楼层剪力/层间位移]刚度</w:t>
          </w:r>
          <w:r>
            <w:tab/>
          </w:r>
          <w:r>
            <w:fldChar w:fldCharType="begin"/>
          </w:r>
          <w:r>
            <w:instrText xml:space="preserve"> PAGEREF _Toc20 \h </w:instrText>
          </w:r>
          <w:r>
            <w:fldChar w:fldCharType="separate"/>
          </w:r>
          <w:r>
            <w:fldChar w:fldCharType="end"/>
          </w:r>
          <w:r>
            <w:fldChar w:fldCharType="end"/>
          </w:r>
        </w:p>
        <w:p>
          <w:pPr>
            <w:pStyle w:val="15"/>
            <w:tabs>
              <w:tab w:val="right" w:leader="dot" w:pos="21356"/>
            </w:tabs>
          </w:pPr>
          <w:r>
            <w:fldChar w:fldCharType="begin"/>
          </w:r>
          <w:r>
            <w:instrText xml:space="preserve"> HYPERLINK \l "_Toc21" \h </w:instrText>
          </w:r>
          <w:r>
            <w:fldChar w:fldCharType="separate"/>
          </w:r>
          <w:r>
            <w:t>3. [楼层剪力/层间位移]刚度(强刚)</w:t>
          </w:r>
          <w:r>
            <w:tab/>
          </w:r>
          <w:r>
            <w:fldChar w:fldCharType="begin"/>
          </w:r>
          <w:r>
            <w:instrText xml:space="preserve"> PAGEREF _Toc21 \h </w:instrText>
          </w:r>
          <w:r>
            <w:fldChar w:fldCharType="separate"/>
          </w:r>
          <w:r>
            <w:fldChar w:fldCharType="end"/>
          </w:r>
          <w:r>
            <w:fldChar w:fldCharType="end"/>
          </w:r>
        </w:p>
        <w:p>
          <w:pPr>
            <w:pStyle w:val="15"/>
            <w:tabs>
              <w:tab w:val="right" w:leader="dot" w:pos="21356"/>
            </w:tabs>
          </w:pPr>
          <w:r>
            <w:fldChar w:fldCharType="begin"/>
          </w:r>
          <w:r>
            <w:instrText xml:space="preserve"> HYPERLINK \l "_Toc22" \h </w:instrText>
          </w:r>
          <w:r>
            <w:fldChar w:fldCharType="separate"/>
          </w:r>
          <w:r>
            <w:t>4. 各楼层受剪承载力</w:t>
          </w:r>
          <w:r>
            <w:tab/>
          </w:r>
          <w:r>
            <w:fldChar w:fldCharType="begin"/>
          </w:r>
          <w:r>
            <w:instrText xml:space="preserve"> PAGEREF _Toc22 \h </w:instrText>
          </w:r>
          <w:r>
            <w:fldChar w:fldCharType="separate"/>
          </w:r>
          <w:r>
            <w:fldChar w:fldCharType="end"/>
          </w:r>
          <w:r>
            <w:fldChar w:fldCharType="end"/>
          </w:r>
        </w:p>
        <w:p>
          <w:pPr>
            <w:pStyle w:val="15"/>
            <w:tabs>
              <w:tab w:val="right" w:leader="dot" w:pos="21356"/>
            </w:tabs>
          </w:pPr>
          <w:r>
            <w:fldChar w:fldCharType="begin"/>
          </w:r>
          <w:r>
            <w:instrText xml:space="preserve"> HYPERLINK \l "_Toc23" \h </w:instrText>
          </w:r>
          <w:r>
            <w:fldChar w:fldCharType="separate"/>
          </w:r>
          <w:r>
            <w:t>5. 楼层薄弱层调整系数</w:t>
          </w:r>
          <w:r>
            <w:tab/>
          </w:r>
          <w:r>
            <w:fldChar w:fldCharType="begin"/>
          </w:r>
          <w:r>
            <w:instrText xml:space="preserve"> PAGEREF _Toc23 \h </w:instrText>
          </w:r>
          <w:r>
            <w:fldChar w:fldCharType="separate"/>
          </w:r>
          <w:r>
            <w:fldChar w:fldCharType="end"/>
          </w:r>
          <w:r>
            <w:fldChar w:fldCharType="end"/>
          </w:r>
        </w:p>
        <w:p>
          <w:pPr>
            <w:pStyle w:val="12"/>
            <w:tabs>
              <w:tab w:val="right" w:leader="dot" w:pos="21356"/>
            </w:tabs>
          </w:pPr>
          <w:r>
            <w:fldChar w:fldCharType="begin"/>
          </w:r>
          <w:r>
            <w:instrText xml:space="preserve"> HYPERLINK \l "_Toc24" \h </w:instrText>
          </w:r>
          <w:r>
            <w:fldChar w:fldCharType="separate"/>
          </w:r>
          <w:r>
            <w:t>十. 抗震分析及调整</w:t>
          </w:r>
          <w:r>
            <w:tab/>
          </w:r>
          <w:r>
            <w:fldChar w:fldCharType="begin"/>
          </w:r>
          <w:r>
            <w:instrText xml:space="preserve"> PAGEREF _Toc24 \h </w:instrText>
          </w:r>
          <w:r>
            <w:fldChar w:fldCharType="separate"/>
          </w:r>
          <w:r>
            <w:fldChar w:fldCharType="end"/>
          </w:r>
          <w:r>
            <w:fldChar w:fldCharType="end"/>
          </w:r>
        </w:p>
        <w:p>
          <w:pPr>
            <w:pStyle w:val="15"/>
            <w:tabs>
              <w:tab w:val="right" w:leader="dot" w:pos="21356"/>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pPr>
            <w:pStyle w:val="15"/>
            <w:tabs>
              <w:tab w:val="right" w:leader="dot" w:pos="21356"/>
            </w:tabs>
          </w:pPr>
          <w:r>
            <w:fldChar w:fldCharType="begin"/>
          </w:r>
          <w:r>
            <w:instrText xml:space="preserve"> HYPERLINK \l "_Toc26" \h </w:instrText>
          </w:r>
          <w:r>
            <w:fldChar w:fldCharType="separate"/>
          </w:r>
          <w:r>
            <w:t>2. 结构周期及振型方向(强刚)</w:t>
          </w:r>
          <w:r>
            <w:tab/>
          </w:r>
          <w:r>
            <w:fldChar w:fldCharType="begin"/>
          </w:r>
          <w:r>
            <w:instrText xml:space="preserve"> PAGEREF _Toc26 \h </w:instrText>
          </w:r>
          <w:r>
            <w:fldChar w:fldCharType="separate"/>
          </w:r>
          <w:r>
            <w:fldChar w:fldCharType="end"/>
          </w:r>
          <w:r>
            <w:fldChar w:fldCharType="end"/>
          </w:r>
        </w:p>
        <w:p>
          <w:pPr>
            <w:pStyle w:val="15"/>
            <w:tabs>
              <w:tab w:val="right" w:leader="dot" w:pos="21356"/>
            </w:tabs>
          </w:pPr>
          <w:r>
            <w:fldChar w:fldCharType="begin"/>
          </w:r>
          <w:r>
            <w:instrText xml:space="preserve"> HYPERLINK \l "_Toc27" \h </w:instrText>
          </w:r>
          <w:r>
            <w:fldChar w:fldCharType="separate"/>
          </w:r>
          <w:r>
            <w:t>3. 各地震方向参与振型的有效质量系数</w:t>
          </w:r>
          <w:r>
            <w:tab/>
          </w:r>
          <w:r>
            <w:fldChar w:fldCharType="begin"/>
          </w:r>
          <w:r>
            <w:instrText xml:space="preserve"> PAGEREF _Toc27 \h </w:instrText>
          </w:r>
          <w:r>
            <w:fldChar w:fldCharType="separate"/>
          </w:r>
          <w:r>
            <w:fldChar w:fldCharType="end"/>
          </w:r>
          <w:r>
            <w:fldChar w:fldCharType="end"/>
          </w:r>
        </w:p>
        <w:p>
          <w:pPr>
            <w:pStyle w:val="15"/>
            <w:tabs>
              <w:tab w:val="right" w:leader="dot" w:pos="21356"/>
            </w:tabs>
          </w:pPr>
          <w:r>
            <w:fldChar w:fldCharType="begin"/>
          </w:r>
          <w:r>
            <w:instrText xml:space="preserve"> HYPERLINK \l "_Toc28" \h </w:instrText>
          </w:r>
          <w:r>
            <w:fldChar w:fldCharType="separate"/>
          </w:r>
          <w:r>
            <w:t>4. 地震作用下结构剪重比及其调整</w:t>
          </w:r>
          <w:r>
            <w:tab/>
          </w:r>
          <w:r>
            <w:fldChar w:fldCharType="begin"/>
          </w:r>
          <w:r>
            <w:instrText xml:space="preserve"> PAGEREF _Toc28 \h </w:instrText>
          </w:r>
          <w:r>
            <w:fldChar w:fldCharType="separate"/>
          </w:r>
          <w:r>
            <w:fldChar w:fldCharType="end"/>
          </w:r>
          <w:r>
            <w:fldChar w:fldCharType="end"/>
          </w:r>
        </w:p>
        <w:p>
          <w:pPr>
            <w:pStyle w:val="15"/>
            <w:tabs>
              <w:tab w:val="right" w:leader="dot" w:pos="21356"/>
            </w:tabs>
          </w:pPr>
          <w:r>
            <w:fldChar w:fldCharType="begin"/>
          </w:r>
          <w:r>
            <w:instrText xml:space="preserve"> HYPERLINK \l "_Toc29" \h </w:instrText>
          </w:r>
          <w:r>
            <w:fldChar w:fldCharType="separate"/>
          </w:r>
          <w:r>
            <w:t>5. 偶然偏心信息</w:t>
          </w:r>
          <w:r>
            <w:tab/>
          </w:r>
          <w:r>
            <w:fldChar w:fldCharType="begin"/>
          </w:r>
          <w:r>
            <w:instrText xml:space="preserve"> PAGEREF _Toc29 \h </w:instrText>
          </w:r>
          <w:r>
            <w:fldChar w:fldCharType="separate"/>
          </w:r>
          <w:r>
            <w:fldChar w:fldCharType="end"/>
          </w:r>
          <w:r>
            <w:fldChar w:fldCharType="end"/>
          </w:r>
        </w:p>
        <w:p>
          <w:pPr>
            <w:pStyle w:val="12"/>
            <w:tabs>
              <w:tab w:val="right" w:leader="dot" w:pos="21356"/>
            </w:tabs>
          </w:pPr>
          <w:r>
            <w:fldChar w:fldCharType="begin"/>
          </w:r>
          <w:r>
            <w:instrText xml:space="preserve"> HYPERLINK \l "_Toc30" \h </w:instrText>
          </w:r>
          <w:r>
            <w:fldChar w:fldCharType="separate"/>
          </w:r>
          <w:r>
            <w:t>十一. 结构体系指标及二道防线调整</w:t>
          </w:r>
          <w:r>
            <w:tab/>
          </w:r>
          <w:r>
            <w:fldChar w:fldCharType="begin"/>
          </w:r>
          <w:r>
            <w:instrText xml:space="preserve"> PAGEREF _Toc30 \h </w:instrText>
          </w:r>
          <w:r>
            <w:fldChar w:fldCharType="separate"/>
          </w:r>
          <w:r>
            <w:fldChar w:fldCharType="end"/>
          </w:r>
          <w:r>
            <w:fldChar w:fldCharType="end"/>
          </w:r>
        </w:p>
        <w:p>
          <w:pPr>
            <w:pStyle w:val="15"/>
            <w:tabs>
              <w:tab w:val="right" w:leader="dot" w:pos="21356"/>
            </w:tabs>
          </w:pPr>
          <w:r>
            <w:fldChar w:fldCharType="begin"/>
          </w:r>
          <w:r>
            <w:instrText xml:space="preserve"> HYPERLINK \l "_Toc31" \h </w:instrText>
          </w:r>
          <w:r>
            <w:fldChar w:fldCharType="separate"/>
          </w:r>
          <w:r>
            <w:t>1. 竖向构件倾覆力矩及百分比(抗规方式)</w:t>
          </w:r>
          <w:r>
            <w:tab/>
          </w:r>
          <w:r>
            <w:fldChar w:fldCharType="begin"/>
          </w:r>
          <w:r>
            <w:instrText xml:space="preserve"> PAGEREF _Toc31 \h </w:instrText>
          </w:r>
          <w:r>
            <w:fldChar w:fldCharType="separate"/>
          </w:r>
          <w:r>
            <w:fldChar w:fldCharType="end"/>
          </w:r>
          <w:r>
            <w:fldChar w:fldCharType="end"/>
          </w:r>
        </w:p>
        <w:p>
          <w:pPr>
            <w:pStyle w:val="15"/>
            <w:tabs>
              <w:tab w:val="right" w:leader="dot" w:pos="21356"/>
            </w:tabs>
          </w:pPr>
          <w:r>
            <w:fldChar w:fldCharType="begin"/>
          </w:r>
          <w:r>
            <w:instrText xml:space="preserve"> HYPERLINK \l "_Toc32" \h </w:instrText>
          </w:r>
          <w:r>
            <w:fldChar w:fldCharType="separate"/>
          </w:r>
          <w:r>
            <w:t>2. 竖向构件地震剪力及百分比</w:t>
          </w:r>
          <w:r>
            <w:tab/>
          </w:r>
          <w:r>
            <w:fldChar w:fldCharType="begin"/>
          </w:r>
          <w:r>
            <w:instrText xml:space="preserve"> PAGEREF _Toc32 \h </w:instrText>
          </w:r>
          <w:r>
            <w:fldChar w:fldCharType="separate"/>
          </w:r>
          <w:r>
            <w:fldChar w:fldCharType="end"/>
          </w:r>
          <w:r>
            <w:fldChar w:fldCharType="end"/>
          </w:r>
        </w:p>
        <w:p>
          <w:pPr>
            <w:pStyle w:val="12"/>
            <w:tabs>
              <w:tab w:val="right" w:leader="dot" w:pos="21356"/>
            </w:tabs>
          </w:pPr>
          <w:r>
            <w:fldChar w:fldCharType="begin"/>
          </w:r>
          <w:r>
            <w:instrText xml:space="preserve"> HYPERLINK \l "_Toc33" \h </w:instrText>
          </w:r>
          <w:r>
            <w:fldChar w:fldCharType="separate"/>
          </w:r>
          <w:r>
            <w:t>十二. 变形验算</w:t>
          </w:r>
          <w:r>
            <w:tab/>
          </w:r>
          <w:r>
            <w:fldChar w:fldCharType="begin"/>
          </w:r>
          <w:r>
            <w:instrText xml:space="preserve"> PAGEREF _Toc33 \h </w:instrText>
          </w:r>
          <w:r>
            <w:fldChar w:fldCharType="separate"/>
          </w:r>
          <w:r>
            <w:fldChar w:fldCharType="end"/>
          </w:r>
          <w:r>
            <w:fldChar w:fldCharType="end"/>
          </w:r>
        </w:p>
        <w:p>
          <w:pPr>
            <w:pStyle w:val="15"/>
            <w:tabs>
              <w:tab w:val="right" w:leader="dot" w:pos="21356"/>
            </w:tabs>
          </w:pPr>
          <w:r>
            <w:fldChar w:fldCharType="begin"/>
          </w:r>
          <w:r>
            <w:instrText xml:space="preserve"> HYPERLINK \l "_Toc34" \h </w:instrText>
          </w:r>
          <w:r>
            <w:fldChar w:fldCharType="separate"/>
          </w:r>
          <w:r>
            <w:t>1. 普通结构楼层位移指标统计</w:t>
          </w:r>
          <w:r>
            <w:tab/>
          </w:r>
          <w:r>
            <w:fldChar w:fldCharType="begin"/>
          </w:r>
          <w:r>
            <w:instrText xml:space="preserve"> PAGEREF _Toc34 \h </w:instrText>
          </w:r>
          <w:r>
            <w:fldChar w:fldCharType="separate"/>
          </w:r>
          <w:r>
            <w:fldChar w:fldCharType="end"/>
          </w:r>
          <w:r>
            <w:fldChar w:fldCharType="end"/>
          </w:r>
        </w:p>
        <w:p>
          <w:pPr>
            <w:pStyle w:val="15"/>
            <w:tabs>
              <w:tab w:val="right" w:leader="dot" w:pos="21356"/>
            </w:tabs>
          </w:pPr>
          <w:r>
            <w:fldChar w:fldCharType="begin"/>
          </w:r>
          <w:r>
            <w:instrText xml:space="preserve"> HYPERLINK \l "_Toc35" \h </w:instrText>
          </w:r>
          <w:r>
            <w:fldChar w:fldCharType="separate"/>
          </w:r>
          <w:r>
            <w:t>2. 大震下弹塑性层间位移角</w:t>
          </w:r>
          <w:r>
            <w:tab/>
          </w:r>
          <w:r>
            <w:fldChar w:fldCharType="begin"/>
          </w:r>
          <w:r>
            <w:instrText xml:space="preserve"> PAGEREF _Toc35 \h </w:instrText>
          </w:r>
          <w:r>
            <w:fldChar w:fldCharType="separate"/>
          </w:r>
          <w:r>
            <w:fldChar w:fldCharType="end"/>
          </w:r>
          <w:r>
            <w:fldChar w:fldCharType="end"/>
          </w:r>
        </w:p>
        <w:p>
          <w:pPr>
            <w:pStyle w:val="15"/>
            <w:tabs>
              <w:tab w:val="right" w:leader="dot" w:pos="21356"/>
            </w:tabs>
          </w:pPr>
          <w:r>
            <w:fldChar w:fldCharType="begin"/>
          </w:r>
          <w:r>
            <w:instrText xml:space="preserve"> HYPERLINK \l "_Toc36" \h </w:instrText>
          </w:r>
          <w:r>
            <w:fldChar w:fldCharType="separate"/>
          </w:r>
          <w:r>
            <w:t>3. 普通结构楼层位移指标统计(强刚)</w:t>
          </w:r>
          <w:r>
            <w:tab/>
          </w:r>
          <w:r>
            <w:fldChar w:fldCharType="begin"/>
          </w:r>
          <w:r>
            <w:instrText xml:space="preserve"> PAGEREF _Toc36 \h </w:instrText>
          </w:r>
          <w:r>
            <w:fldChar w:fldCharType="separate"/>
          </w:r>
          <w:r>
            <w:fldChar w:fldCharType="end"/>
          </w:r>
          <w:r>
            <w:fldChar w:fldCharType="end"/>
          </w:r>
        </w:p>
        <w:p>
          <w:pPr>
            <w:pStyle w:val="12"/>
            <w:tabs>
              <w:tab w:val="right" w:leader="dot" w:pos="21356"/>
            </w:tabs>
          </w:pPr>
          <w:r>
            <w:fldChar w:fldCharType="begin"/>
          </w:r>
          <w:r>
            <w:instrText xml:space="preserve"> HYPERLINK \l "_Toc37" \h </w:instrText>
          </w:r>
          <w:r>
            <w:fldChar w:fldCharType="separate"/>
          </w:r>
          <w:r>
            <w:t>十三. 结构顶点风振加速度</w:t>
          </w:r>
          <w:r>
            <w:tab/>
          </w:r>
          <w:r>
            <w:fldChar w:fldCharType="begin"/>
          </w:r>
          <w:r>
            <w:instrText xml:space="preserve"> PAGEREF _Toc37 \h </w:instrText>
          </w:r>
          <w:r>
            <w:fldChar w:fldCharType="separate"/>
          </w:r>
          <w:r>
            <w:fldChar w:fldCharType="end"/>
          </w:r>
          <w:r>
            <w:fldChar w:fldCharType="end"/>
          </w:r>
        </w:p>
        <w:p>
          <w:pPr>
            <w:pStyle w:val="12"/>
            <w:tabs>
              <w:tab w:val="right" w:leader="dot" w:pos="21356"/>
            </w:tabs>
          </w:pPr>
          <w:r>
            <w:fldChar w:fldCharType="begin"/>
          </w:r>
          <w:r>
            <w:instrText xml:space="preserve"> HYPERLINK \l "_Toc38" \h </w:instrText>
          </w:r>
          <w:r>
            <w:fldChar w:fldCharType="separate"/>
          </w:r>
          <w:r>
            <w:t>十四. 抗倾覆和稳定验算</w:t>
          </w:r>
          <w:r>
            <w:tab/>
          </w:r>
          <w:r>
            <w:fldChar w:fldCharType="begin"/>
          </w:r>
          <w:r>
            <w:instrText xml:space="preserve"> PAGEREF _Toc38 \h </w:instrText>
          </w:r>
          <w:r>
            <w:fldChar w:fldCharType="separate"/>
          </w:r>
          <w:r>
            <w:fldChar w:fldCharType="end"/>
          </w:r>
          <w:r>
            <w:fldChar w:fldCharType="end"/>
          </w:r>
        </w:p>
        <w:p>
          <w:pPr>
            <w:pStyle w:val="15"/>
            <w:tabs>
              <w:tab w:val="right" w:leader="dot" w:pos="21356"/>
            </w:tabs>
          </w:pPr>
          <w:r>
            <w:fldChar w:fldCharType="begin"/>
          </w:r>
          <w:r>
            <w:instrText xml:space="preserve"> HYPERLINK \l "_Toc39" \h </w:instrText>
          </w:r>
          <w:r>
            <w:fldChar w:fldCharType="separate"/>
          </w:r>
          <w:r>
            <w:t>1. 抗倾覆验算</w:t>
          </w:r>
          <w:r>
            <w:tab/>
          </w:r>
          <w:r>
            <w:fldChar w:fldCharType="begin"/>
          </w:r>
          <w:r>
            <w:instrText xml:space="preserve"> PAGEREF _Toc39 \h </w:instrText>
          </w:r>
          <w:r>
            <w:fldChar w:fldCharType="separate"/>
          </w:r>
          <w:r>
            <w:fldChar w:fldCharType="end"/>
          </w:r>
          <w:r>
            <w:fldChar w:fldCharType="end"/>
          </w:r>
        </w:p>
        <w:p>
          <w:pPr>
            <w:pStyle w:val="15"/>
            <w:tabs>
              <w:tab w:val="right" w:leader="dot" w:pos="21356"/>
            </w:tabs>
          </w:pPr>
          <w:r>
            <w:fldChar w:fldCharType="begin"/>
          </w:r>
          <w:r>
            <w:instrText xml:space="preserve"> HYPERLINK \l "_Toc40" \h </w:instrText>
          </w:r>
          <w:r>
            <w:fldChar w:fldCharType="separate"/>
          </w:r>
          <w:r>
            <w:t>2. 整体稳定刚重比验算</w:t>
          </w:r>
          <w:r>
            <w:tab/>
          </w:r>
          <w:r>
            <w:fldChar w:fldCharType="begin"/>
          </w:r>
          <w:r>
            <w:instrText xml:space="preserve"> PAGEREF _Toc40 \h </w:instrText>
          </w:r>
          <w:r>
            <w:fldChar w:fldCharType="separate"/>
          </w:r>
          <w:r>
            <w:fldChar w:fldCharType="end"/>
          </w:r>
          <w:r>
            <w:fldChar w:fldCharType="end"/>
          </w:r>
        </w:p>
        <w:p>
          <w:pPr>
            <w:pStyle w:val="15"/>
            <w:tabs>
              <w:tab w:val="right" w:leader="dot" w:pos="21356"/>
            </w:tabs>
          </w:pPr>
          <w:r>
            <w:fldChar w:fldCharType="begin"/>
          </w:r>
          <w:r>
            <w:instrText xml:space="preserve"> HYPERLINK \l "_Toc41" \h </w:instrText>
          </w:r>
          <w:r>
            <w:fldChar w:fldCharType="separate"/>
          </w:r>
          <w:r>
            <w:t>3. 二阶效应系数及内力放大</w:t>
          </w:r>
          <w:r>
            <w:tab/>
          </w:r>
          <w:r>
            <w:fldChar w:fldCharType="begin"/>
          </w:r>
          <w:r>
            <w:instrText xml:space="preserve"> PAGEREF _Toc41 \h </w:instrText>
          </w:r>
          <w:r>
            <w:fldChar w:fldCharType="separate"/>
          </w:r>
          <w:r>
            <w:fldChar w:fldCharType="end"/>
          </w:r>
          <w:r>
            <w:fldChar w:fldCharType="end"/>
          </w:r>
        </w:p>
        <w:p>
          <w:pPr>
            <w:pStyle w:val="12"/>
            <w:tabs>
              <w:tab w:val="right" w:leader="dot" w:pos="21356"/>
            </w:tabs>
          </w:pPr>
          <w:r>
            <w:fldChar w:fldCharType="begin"/>
          </w:r>
          <w:r>
            <w:instrText xml:space="preserve"> HYPERLINK \l "_Toc42" \h </w:instrText>
          </w:r>
          <w:r>
            <w:fldChar w:fldCharType="separate"/>
          </w:r>
          <w:r>
            <w:t>十五. 超筋超限信息汇总</w:t>
          </w:r>
          <w:r>
            <w:tab/>
          </w:r>
          <w:r>
            <w:fldChar w:fldCharType="begin"/>
          </w:r>
          <w:r>
            <w:instrText xml:space="preserve"> PAGEREF _Toc42 \h </w:instrText>
          </w:r>
          <w:r>
            <w:fldChar w:fldCharType="separate"/>
          </w:r>
          <w:r>
            <w:fldChar w:fldCharType="end"/>
          </w:r>
          <w:r>
            <w:fldChar w:fldCharType="end"/>
          </w:r>
        </w:p>
        <w:p>
          <w:pPr>
            <w:pStyle w:val="12"/>
            <w:tabs>
              <w:tab w:val="right" w:leader="dot" w:pos="21356"/>
            </w:tabs>
          </w:pPr>
          <w:r>
            <w:fldChar w:fldCharType="begin"/>
          </w:r>
          <w:r>
            <w:instrText xml:space="preserve"> HYPERLINK \l "_Toc43" \h </w:instrText>
          </w:r>
          <w:r>
            <w:fldChar w:fldCharType="separate"/>
          </w:r>
          <w:r>
            <w:t>十六. 结构分析及设计结果简图</w:t>
          </w:r>
          <w:r>
            <w:tab/>
          </w:r>
          <w:r>
            <w:fldChar w:fldCharType="begin"/>
          </w:r>
          <w:r>
            <w:instrText xml:space="preserve"> PAGEREF _Toc43 \h </w:instrText>
          </w:r>
          <w:r>
            <w:fldChar w:fldCharType="separate"/>
          </w:r>
          <w:r>
            <w:fldChar w:fldCharType="end"/>
          </w:r>
          <w:r>
            <w:fldChar w:fldCharType="end"/>
          </w:r>
        </w:p>
        <w:p>
          <w:pPr>
            <w:pStyle w:val="15"/>
            <w:tabs>
              <w:tab w:val="right" w:leader="dot" w:pos="21356"/>
            </w:tabs>
          </w:pPr>
          <w:r>
            <w:fldChar w:fldCharType="begin"/>
          </w:r>
          <w:r>
            <w:instrText xml:space="preserve"> HYPERLINK \l "_Toc44" \h </w:instrText>
          </w:r>
          <w:r>
            <w:fldChar w:fldCharType="separate"/>
          </w:r>
          <w:r>
            <w:t>1. 结构平面简图</w:t>
          </w:r>
          <w:r>
            <w:tab/>
          </w:r>
          <w:r>
            <w:fldChar w:fldCharType="begin"/>
          </w:r>
          <w:r>
            <w:instrText xml:space="preserve"> PAGEREF _Toc44 \h </w:instrText>
          </w:r>
          <w:r>
            <w:fldChar w:fldCharType="separate"/>
          </w:r>
          <w:r>
            <w:fldChar w:fldCharType="end"/>
          </w:r>
          <w:r>
            <w:fldChar w:fldCharType="end"/>
          </w:r>
        </w:p>
        <w:p>
          <w:pPr>
            <w:pStyle w:val="15"/>
            <w:tabs>
              <w:tab w:val="right" w:leader="dot" w:pos="21356"/>
            </w:tabs>
          </w:pPr>
          <w:r>
            <w:fldChar w:fldCharType="begin"/>
          </w:r>
          <w:r>
            <w:instrText xml:space="preserve"> HYPERLINK \l "_Toc45" \h </w:instrText>
          </w:r>
          <w:r>
            <w:fldChar w:fldCharType="separate"/>
          </w:r>
          <w:r>
            <w:t>2. 荷载简图</w:t>
          </w:r>
          <w:r>
            <w:tab/>
          </w:r>
          <w:r>
            <w:fldChar w:fldCharType="begin"/>
          </w:r>
          <w:r>
            <w:instrText xml:space="preserve"> PAGEREF _Toc45 \h </w:instrText>
          </w:r>
          <w:r>
            <w:fldChar w:fldCharType="separate"/>
          </w:r>
          <w:r>
            <w:fldChar w:fldCharType="end"/>
          </w:r>
          <w:r>
            <w:fldChar w:fldCharType="end"/>
          </w:r>
        </w:p>
        <w:p>
          <w:pPr>
            <w:pStyle w:val="15"/>
            <w:tabs>
              <w:tab w:val="right" w:leader="dot" w:pos="21356"/>
            </w:tabs>
          </w:pPr>
          <w:r>
            <w:fldChar w:fldCharType="begin"/>
          </w:r>
          <w:r>
            <w:instrText xml:space="preserve"> HYPERLINK \l "_Toc46" \h </w:instrText>
          </w:r>
          <w:r>
            <w:fldChar w:fldCharType="separate"/>
          </w:r>
          <w:r>
            <w:t>3. 配筋简图</w:t>
          </w:r>
          <w:r>
            <w:tab/>
          </w:r>
          <w:r>
            <w:fldChar w:fldCharType="begin"/>
          </w:r>
          <w:r>
            <w:instrText xml:space="preserve"> PAGEREF _Toc46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《高层民用建筑钢结构技术规程》(JGJ99-2015)</w:t>
      </w:r>
    </w:p>
    <w:p>
      <w:pPr>
        <w:jc w:val="left"/>
      </w:pPr>
      <w:r>
        <w:rPr>
          <w:rFonts w:hint="eastAsia" w:ascii="宋体" w:eastAsia="宋体"/>
          <w:b w:val="0"/>
          <w:color w:val="000000"/>
          <w:sz w:val="24"/>
          <w:szCs w:val="24"/>
          <w:shd w:val="clear" w:color="auto" w:fill="FFFFFF"/>
        </w:rPr>
        <w:t>8. 《混凝土异形柱结构技术规程》(JGJ149-2017)</w:t>
      </w:r>
    </w:p>
    <w:p>
      <w:pPr>
        <w:jc w:val="left"/>
      </w:pPr>
      <w:r>
        <w:rPr>
          <w:rFonts w:hint="eastAsia" w:ascii="宋体" w:eastAsia="宋体"/>
          <w:b w:val="0"/>
          <w:color w:val="000000"/>
          <w:sz w:val="24"/>
          <w:szCs w:val="24"/>
          <w:shd w:val="clear" w:color="auto" w:fill="FFFFFF"/>
        </w:rPr>
        <w:t>9. 《钢板剪力墙技术规程》(JGJ/T 380-2015)</w:t>
      </w:r>
    </w:p>
    <w:p>
      <w:pPr>
        <w:jc w:val="left"/>
      </w:pPr>
      <w:r>
        <w:rPr>
          <w:rFonts w:hint="eastAsia" w:ascii="宋体" w:eastAsia="宋体"/>
          <w:b w:val="0"/>
          <w:color w:val="000000"/>
          <w:sz w:val="24"/>
          <w:szCs w:val="24"/>
          <w:shd w:val="clear" w:color="auto" w:fill="FFFFFF"/>
        </w:rPr>
        <w:t>10. 《门式刚架轻型房屋钢结构技术规范》(GB51022-2015)</w:t>
      </w:r>
    </w:p>
    <w:p>
      <w:pPr>
        <w:jc w:val="left"/>
      </w:pPr>
      <w:r>
        <w:rPr>
          <w:rFonts w:hint="eastAsia" w:ascii="宋体" w:eastAsia="宋体"/>
          <w:b w:val="0"/>
          <w:color w:val="000000"/>
          <w:sz w:val="24"/>
          <w:szCs w:val="24"/>
          <w:shd w:val="clear" w:color="auto" w:fill="FFFFFF"/>
        </w:rPr>
        <w:t>11. 《建筑结构可靠性设计统一标准》(GB50068-2018)</w:t>
      </w:r>
    </w:p>
    <w:p>
      <w:pPr>
        <w:jc w:val="left"/>
      </w:pPr>
      <w:r>
        <w:rPr>
          <w:rFonts w:hint="eastAsia" w:ascii="宋体" w:eastAsia="宋体"/>
          <w:b w:val="0"/>
          <w:color w:val="000000"/>
          <w:sz w:val="24"/>
          <w:szCs w:val="24"/>
          <w:shd w:val="clear" w:color="auto" w:fill="FFFFFF"/>
        </w:rPr>
        <w:t>12. 《钢管混凝土结构设计与施工规程》(CECS 28-2012)</w:t>
      </w:r>
    </w:p>
    <w:p>
      <w:pPr>
        <w:jc w:val="left"/>
      </w:pPr>
      <w:r>
        <w:rPr>
          <w:rFonts w:hint="eastAsia" w:ascii="宋体" w:eastAsia="宋体"/>
          <w:b w:val="0"/>
          <w:color w:val="000000"/>
          <w:sz w:val="24"/>
          <w:szCs w:val="24"/>
          <w:shd w:val="clear" w:color="auto" w:fill="FFFFFF"/>
        </w:rPr>
        <w:t>13. 《组合结构设计规范》(JGJ138-2016)</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V1.1.0版。</w:t>
      </w:r>
    </w:p>
    <w:p>
      <w:pPr>
        <w:jc w:val="left"/>
      </w:pPr>
      <w:r>
        <w:rPr>
          <w:rFonts w:hint="eastAsia" w:ascii="宋体" w:eastAsia="宋体"/>
          <w:b w:val="0"/>
          <w:color w:val="000000"/>
          <w:sz w:val="24"/>
          <w:szCs w:val="24"/>
          <w:shd w:val="clear" w:color="auto" w:fill="FFFFFF"/>
        </w:rPr>
        <w:t>计算日期为2022年2月11日15时52分9秒。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设计使用年限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第三组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708"/>
        <w:gridCol w:w="881"/>
        <w:gridCol w:w="874"/>
        <w:gridCol w:w="1296"/>
        <w:gridCol w:w="1740"/>
        <w:gridCol w:w="874"/>
        <w:gridCol w:w="16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857.70</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1.05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0.6671(X)</w:t>
            </w:r>
          </w:p>
        </w:tc>
        <w:tc>
          <w:tcPr>
            <w:tcW w:w="1814" w:type="dxa"/>
            <w:vMerge w:val="restart"/>
            <w:shd w:val="clear" w:color="auto" w:fill="FFFFFF"/>
            <w:vAlign w:val="center"/>
          </w:tcPr>
          <w:p>
            <w:pPr>
              <w:jc w:val="center"/>
            </w:pPr>
          </w:p>
        </w:tc>
        <w:tc>
          <w:tcPr>
            <w:tcW w:w="907" w:type="dxa"/>
            <w:vMerge w:val="restart"/>
            <w:shd w:val="clear" w:color="auto" w:fill="FFFFFF"/>
            <w:vAlign w:val="center"/>
          </w:tcPr>
          <w:p>
            <w:pPr>
              <w:jc w:val="center"/>
            </w:pP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0.6529(Y)</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0.5458(T)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97.83%</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97.86%</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地震底部剪重比(调整前/调整后)</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6.63%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6.78%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53.90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
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55.81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
大位移与层高之比(Δu/h)</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1/925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1/974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1/5731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1/5390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
塔楼扭转参数</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
/平均位移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
移/层间
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
间位移刚
度比</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与相邻上一层侧向刚度0.9(非框架)、
0.7及上三层0.8(框架)的比值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3层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3层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3层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3层 1塔</w:t>
            </w:r>
          </w:p>
        </w:tc>
      </w:tr>
    </w:tbl>
    <w:p>
      <w:pPr>
        <w:spacing w:beforeLines="113" w:afterLines="113" w:line="113" w:lineRule="auto"/>
        <w:jc w:val="left"/>
      </w:pPr>
    </w:p>
    <w:p>
      <w:pPr>
        <w:pStyle w:val="16"/>
        <w:jc w:val="center"/>
      </w:pPr>
      <w:bookmarkStart w:id="4" w:name="_Toc4"/>
      <w:r>
        <w:rPr>
          <w:rFonts w:hint="eastAsia" w:ascii="宋体" w:eastAsia="宋体"/>
          <w:b/>
          <w:color w:val="000000"/>
          <w:sz w:val="32"/>
          <w:szCs w:val="32"/>
          <w:shd w:val="clear" w:color="auto" w:fill="FFFFFF"/>
        </w:rPr>
        <w:t>五. 结构模型概况</w:t>
      </w:r>
      <w:bookmarkEnd w:id="4"/>
    </w:p>
    <w:p>
      <w:pPr>
        <w:pStyle w:val="3"/>
        <w:jc w:val="left"/>
      </w:pPr>
      <w:bookmarkStart w:id="5" w:name="_Toc5"/>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26.00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rPr>
                <w:rFonts w:hint="eastAsia" w:eastAsia="宋体"/>
                <w:lang w:eastAsia="zh-CN"/>
              </w:rPr>
            </w:pPr>
            <w:r>
              <w:rPr>
                <w:rFonts w:hint="eastAsia" w:ascii="宋体" w:eastAsia="宋体"/>
                <w:b w:val="0"/>
                <w:color w:val="000000"/>
                <w:sz w:val="24"/>
                <w:szCs w:val="24"/>
                <w:shd w:val="clear" w:color="auto" w:fill="FFFFFF"/>
              </w:rPr>
              <w:t xml:space="preserve">模拟施工加载 </w:t>
            </w:r>
            <w:r>
              <w:rPr>
                <w:rFonts w:hint="eastAsia" w:ascii="宋体" w:eastAsia="宋体"/>
                <w:b w:val="0"/>
                <w:color w:val="000000"/>
                <w:sz w:val="24"/>
                <w:szCs w:val="24"/>
                <w:shd w:val="clear" w:color="auto" w:fill="FFFFFF"/>
                <w:lang w:val="en-US" w:eastAsia="zh-CN"/>
              </w:rPr>
              <w:t>3</w:t>
            </w:r>
            <w:bookmarkStart w:id="47" w:name="_GoBack"/>
            <w:bookmarkEnd w:id="47"/>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仅整体指标采用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3</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第三组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双模型计算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仅按抗规判断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(十一)性能设计:</w:t>
      </w:r>
    </w:p>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240</w:t>
            </w:r>
          </w:p>
        </w:tc>
      </w:tr>
    </w:tbl>
    <w:p>
      <w:pPr>
        <w:spacing w:beforeLines="113" w:afterLines="113" w:line="113" w:lineRule="auto"/>
        <w:jc w:val="left"/>
      </w:pPr>
    </w:p>
    <w:p>
      <w:pPr>
        <w:pStyle w:val="3"/>
        <w:jc w:val="left"/>
      </w:pPr>
      <w:bookmarkStart w:id="6" w:name="_Toc6"/>
      <w:r>
        <w:rPr>
          <w:rFonts w:hint="eastAsia" w:ascii="宋体" w:eastAsia="宋体"/>
          <w:b/>
          <w:color w:val="000000"/>
          <w:sz w:val="28"/>
          <w:szCs w:val="28"/>
          <w:shd w:val="clear" w:color="auto" w:fill="FFFFFF"/>
        </w:rPr>
        <w:t>2. 楼层信息</w:t>
      </w:r>
      <w:bookmarkEnd w:id="6"/>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7" w:name="_Toc7"/>
      <w:r>
        <w:rPr>
          <w:rFonts w:hint="eastAsia" w:ascii="宋体" w:eastAsia="宋体"/>
          <w:b/>
          <w:color w:val="000000"/>
          <w:sz w:val="28"/>
          <w:szCs w:val="28"/>
          <w:shd w:val="clear" w:color="auto" w:fill="FFFFFF"/>
        </w:rPr>
        <w:t>3. 各层等效尺寸</w:t>
      </w:r>
      <w:bookmarkEnd w:id="7"/>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4.500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12.600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193.50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7.50,6.45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12.90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12.90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177.30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6.95,6.79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12.73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14.67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12.19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221.04</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6.42,5.55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15.58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14.81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16.39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13.91</w:t>
            </w:r>
          </w:p>
        </w:tc>
      </w:tr>
    </w:tbl>
    <w:p>
      <w:pPr>
        <w:spacing w:beforeLines="113" w:afterLines="113" w:line="113" w:lineRule="auto"/>
        <w:jc w:val="left"/>
      </w:pPr>
    </w:p>
    <w:p>
      <w:pPr>
        <w:pStyle w:val="3"/>
        <w:jc w:val="left"/>
      </w:pPr>
      <w:bookmarkStart w:id="8" w:name="_Toc8"/>
      <w:r>
        <w:rPr>
          <w:rFonts w:hint="eastAsia" w:ascii="宋体" w:eastAsia="宋体"/>
          <w:b/>
          <w:color w:val="000000"/>
          <w:sz w:val="28"/>
          <w:szCs w:val="28"/>
          <w:shd w:val="clear" w:color="auto" w:fill="FFFFFF"/>
        </w:rPr>
        <w:t>4. 层塔属性</w:t>
      </w:r>
      <w:bookmarkEnd w:id="8"/>
    </w:p>
    <w:p>
      <w:pPr>
        <w:spacing w:beforeLines="113" w:afterLines="113" w:line="113" w:lineRule="auto"/>
        <w:jc w:val="center"/>
      </w:pPr>
      <w:r>
        <w:rPr>
          <w:rFonts w:hint="eastAsia" w:ascii="黑体" w:eastAsia="黑体"/>
          <w:b/>
          <w:color w:val="000000"/>
          <w:sz w:val="26"/>
          <w:szCs w:val="26"/>
          <w:shd w:val="clear" w:color="auto" w:fill="FFFFFF"/>
        </w:rPr>
        <w:t>表5-6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表5-7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3</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r>
    </w:tbl>
    <w:p>
      <w:pPr>
        <w:spacing w:beforeLines="113" w:afterLines="113" w:line="113" w:lineRule="auto"/>
        <w:jc w:val="left"/>
      </w:pPr>
    </w:p>
    <w:p>
      <w:pPr>
        <w:pStyle w:val="16"/>
        <w:jc w:val="center"/>
      </w:pPr>
      <w:bookmarkStart w:id="9" w:name="_Toc9"/>
      <w:r>
        <w:rPr>
          <w:rFonts w:hint="eastAsia" w:ascii="宋体" w:eastAsia="宋体"/>
          <w:b/>
          <w:color w:val="000000"/>
          <w:sz w:val="32"/>
          <w:szCs w:val="32"/>
          <w:shd w:val="clear" w:color="auto" w:fill="FFFFFF"/>
        </w:rPr>
        <w:t>六. 工况和组合</w:t>
      </w:r>
      <w:bookmarkEnd w:id="9"/>
    </w:p>
    <w:p>
      <w:pPr>
        <w:pStyle w:val="3"/>
        <w:jc w:val="left"/>
      </w:pPr>
      <w:bookmarkStart w:id="10" w:name="_Toc10"/>
      <w:r>
        <w:rPr>
          <w:rFonts w:hint="eastAsia" w:ascii="宋体" w:eastAsia="宋体"/>
          <w:b/>
          <w:color w:val="000000"/>
          <w:sz w:val="28"/>
          <w:szCs w:val="28"/>
          <w:shd w:val="clear" w:color="auto" w:fill="FFFFFF"/>
        </w:rPr>
        <w:t>1. 工况设定</w:t>
      </w:r>
      <w:bookmarkEnd w:id="10"/>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11" w:name="_Toc11"/>
      <w:r>
        <w:rPr>
          <w:rFonts w:hint="eastAsia" w:ascii="宋体" w:eastAsia="宋体"/>
          <w:b/>
          <w:color w:val="000000"/>
          <w:sz w:val="28"/>
          <w:szCs w:val="28"/>
          <w:shd w:val="clear" w:color="auto" w:fill="FFFFFF"/>
        </w:rPr>
        <w:t>2. 工况信息</w:t>
      </w:r>
      <w:bookmarkEnd w:id="11"/>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12" w:name="_Toc12"/>
      <w:r>
        <w:rPr>
          <w:rFonts w:hint="eastAsia" w:ascii="宋体" w:eastAsia="宋体"/>
          <w:b/>
          <w:color w:val="000000"/>
          <w:sz w:val="28"/>
          <w:szCs w:val="28"/>
          <w:shd w:val="clear" w:color="auto" w:fill="FFFFFF"/>
        </w:rPr>
        <w:t>3. 构件内力基本组合系数</w:t>
      </w:r>
      <w:bookmarkEnd w:id="12"/>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13" w:name="_Toc13"/>
      <w:r>
        <w:rPr>
          <w:rFonts w:hint="eastAsia" w:ascii="宋体" w:eastAsia="宋体"/>
          <w:b/>
          <w:color w:val="000000"/>
          <w:sz w:val="32"/>
          <w:szCs w:val="32"/>
          <w:shd w:val="clear" w:color="auto" w:fill="FFFFFF"/>
        </w:rPr>
        <w:t>七. 质量信息</w:t>
      </w:r>
      <w:bookmarkEnd w:id="13"/>
    </w:p>
    <w:p>
      <w:pPr>
        <w:pStyle w:val="3"/>
        <w:jc w:val="left"/>
      </w:pPr>
      <w:bookmarkStart w:id="14" w:name="_Toc14"/>
      <w:r>
        <w:rPr>
          <w:rFonts w:hint="eastAsia" w:ascii="宋体" w:eastAsia="宋体"/>
          <w:b/>
          <w:color w:val="000000"/>
          <w:sz w:val="28"/>
          <w:szCs w:val="28"/>
          <w:shd w:val="clear" w:color="auto" w:fill="FFFFFF"/>
        </w:rPr>
        <w:t>1. 结构质量分布</w:t>
      </w:r>
      <w:bookmarkEnd w:id="14"/>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016"/>
        <w:gridCol w:w="1706"/>
        <w:gridCol w:w="1699"/>
        <w:gridCol w:w="1706"/>
        <w:gridCol w:w="169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75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75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75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75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7.52,6.49,12.60</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262.8</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9.6</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272.4</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7.85,6.44,8.10</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231.1</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29.2</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260.3</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0.80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7.02,5.75,4.20</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297.2</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27.8</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325.0</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791.091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66.606</w:t>
      </w:r>
    </w:p>
    <w:p>
      <w:pPr>
        <w:spacing w:beforeLines="113" w:afterLines="113" w:line="113" w:lineRule="auto"/>
        <w:jc w:val="left"/>
      </w:pPr>
      <w:r>
        <w:rPr>
          <w:rFonts w:hint="eastAsia" w:ascii="宋体" w:eastAsia="宋体"/>
          <w:b w:val="0"/>
          <w:color w:val="000000"/>
          <w:sz w:val="24"/>
          <w:szCs w:val="24"/>
          <w:shd w:val="clear" w:color="auto" w:fill="FFFFFF"/>
        </w:rPr>
        <w:t>结构的总质量 (t):        857.697</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15" w:name="_Toc15"/>
      <w:r>
        <w:rPr>
          <w:rFonts w:hint="eastAsia" w:ascii="宋体" w:eastAsia="宋体"/>
          <w:b/>
          <w:color w:val="000000"/>
          <w:sz w:val="28"/>
          <w:szCs w:val="28"/>
          <w:shd w:val="clear" w:color="auto" w:fill="FFFFFF"/>
        </w:rPr>
        <w:t>2. 各层刚心、偏心率信息</w:t>
      </w:r>
      <w:bookmarkEnd w:id="15"/>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6.75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 xml:space="preserve"> 3.02%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 xml:space="preserve"> 5.20%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5.98%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13.83%</w:t>
            </w:r>
          </w:p>
        </w:tc>
      </w:tr>
    </w:tbl>
    <w:p>
      <w:pPr>
        <w:spacing w:beforeLines="113" w:afterLines="113" w:line="113" w:lineRule="auto"/>
        <w:jc w:val="left"/>
      </w:pPr>
    </w:p>
    <w:p>
      <w:pPr>
        <w:spacing w:beforeLines="113" w:afterLines="113" w:line="113" w:lineRule="auto"/>
        <w:jc w:val="left"/>
      </w:pPr>
    </w:p>
    <w:p>
      <w:pPr>
        <w:pStyle w:val="16"/>
        <w:jc w:val="center"/>
      </w:pPr>
      <w:bookmarkStart w:id="16" w:name="_Toc16"/>
      <w:r>
        <w:rPr>
          <w:rFonts w:hint="eastAsia" w:ascii="宋体" w:eastAsia="宋体"/>
          <w:b/>
          <w:color w:val="000000"/>
          <w:sz w:val="32"/>
          <w:szCs w:val="32"/>
          <w:shd w:val="clear" w:color="auto" w:fill="FFFFFF"/>
        </w:rPr>
        <w:t>八. 荷载信息</w:t>
      </w:r>
      <w:bookmarkEnd w:id="16"/>
    </w:p>
    <w:p>
      <w:pPr>
        <w:pStyle w:val="3"/>
        <w:jc w:val="left"/>
      </w:pPr>
      <w:bookmarkStart w:id="17" w:name="_Toc17"/>
      <w:r>
        <w:rPr>
          <w:rFonts w:hint="eastAsia" w:ascii="宋体" w:eastAsia="宋体"/>
          <w:b/>
          <w:color w:val="000000"/>
          <w:sz w:val="28"/>
          <w:szCs w:val="28"/>
          <w:shd w:val="clear" w:color="auto" w:fill="FFFFFF"/>
        </w:rPr>
        <w:t>1. 风荷载信息</w:t>
      </w:r>
      <w:bookmarkEnd w:id="17"/>
    </w:p>
    <w:p>
      <w:pPr>
        <w:spacing w:beforeLines="113" w:afterLines="113" w:line="113" w:lineRule="auto"/>
        <w:jc w:val="left"/>
      </w:pPr>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42.0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42.0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189.1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29.7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71.7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468.8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31.3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103.0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901.5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48.9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48.9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220.2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34.5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83.4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545.5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119.1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1045.9</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18" w:name="_Toc18"/>
      <w:r>
        <w:rPr>
          <w:rFonts w:hint="eastAsia" w:ascii="宋体" w:eastAsia="宋体"/>
          <w:b/>
          <w:color w:val="000000"/>
          <w:sz w:val="32"/>
          <w:szCs w:val="32"/>
          <w:shd w:val="clear" w:color="auto" w:fill="FFFFFF"/>
        </w:rPr>
        <w:t>九. 立面规则性</w:t>
      </w:r>
      <w:bookmarkEnd w:id="18"/>
    </w:p>
    <w:p>
      <w:pPr>
        <w:pStyle w:val="3"/>
        <w:jc w:val="left"/>
      </w:pPr>
      <w:bookmarkStart w:id="19" w:name="_Toc19"/>
      <w:r>
        <w:rPr>
          <w:rFonts w:hint="eastAsia" w:ascii="宋体" w:eastAsia="宋体"/>
          <w:b/>
          <w:color w:val="000000"/>
          <w:sz w:val="28"/>
          <w:szCs w:val="28"/>
          <w:shd w:val="clear" w:color="auto" w:fill="FFFFFF"/>
        </w:rPr>
        <w:t>1. 楼层侧向剪切刚度</w:t>
      </w:r>
      <w:bookmarkEnd w:id="19"/>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0.58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2.84e+5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2.84e+5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2.28e+5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2.28e+5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20" w:name="_Toc20"/>
      <w:r>
        <w:rPr>
          <w:rFonts w:hint="eastAsia" w:ascii="宋体" w:eastAsia="宋体"/>
          <w:b/>
          <w:color w:val="000000"/>
          <w:sz w:val="28"/>
          <w:szCs w:val="28"/>
          <w:shd w:val="clear" w:color="auto" w:fill="FFFFFF"/>
        </w:rPr>
        <w:t>2. [楼层剪力/层间位移]刚度</w:t>
      </w:r>
      <w:bookmarkEnd w:id="20"/>
    </w:p>
    <w:p>
      <w:pPr>
        <w:spacing w:beforeLines="113" w:afterLines="113" w:line="113" w:lineRule="auto"/>
        <w:jc w:val="left"/>
      </w:pPr>
    </w:p>
    <w:p>
      <w:pPr>
        <w:jc w:val="left"/>
      </w:pPr>
      <w:r>
        <w:rPr>
          <w:rFonts w:hint="eastAsia" w:ascii="楷体" w:eastAsia="楷体"/>
          <w:b/>
          <w:color w:val="0000FF"/>
          <w:sz w:val="24"/>
          <w:szCs w:val="24"/>
          <w:shd w:val="clear" w:color="auto" w:fill="FFFFFF"/>
        </w:rPr>
        <w:t xml:space="preserve"> 《抗规》3.4.3-2条对于侧向刚度不规则的定义为：该层的侧向刚度小于相邻上一层的70%，或小于其上相邻三个楼层侧向刚度平均值的80%；结构并无侧向刚度不规则的情况。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78980.94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81090.53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1.16e+5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1.23e+5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2.11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1.46e+5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1.51e+5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1.75</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多方向刚度简图</w:t>
      </w:r>
    </w:p>
    <w:p>
      <w:pPr>
        <w:spacing w:beforeLines="113" w:afterLines="113" w:line="113" w:lineRule="auto"/>
        <w:jc w:val="center"/>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多方向刚度比1简图</w:t>
      </w:r>
    </w:p>
    <w:p>
      <w:pPr>
        <w:spacing w:beforeLines="113" w:afterLines="113" w:line="113" w:lineRule="auto"/>
        <w:jc w:val="center"/>
      </w:pPr>
    </w:p>
    <w:p>
      <w:pPr>
        <w:pStyle w:val="3"/>
        <w:jc w:val="left"/>
      </w:pPr>
      <w:bookmarkStart w:id="21" w:name="_Toc21"/>
      <w:r>
        <w:rPr>
          <w:rFonts w:hint="eastAsia" w:ascii="宋体" w:eastAsia="宋体"/>
          <w:b/>
          <w:color w:val="000000"/>
          <w:sz w:val="28"/>
          <w:szCs w:val="28"/>
          <w:shd w:val="clear" w:color="auto" w:fill="FFFFFF"/>
        </w:rPr>
        <w:t>3. [楼层剪力/层间位移]刚度(强刚)</w:t>
      </w:r>
      <w:bookmarkEnd w:id="21"/>
    </w:p>
    <w:p>
      <w:pPr>
        <w:spacing w:beforeLines="113" w:afterLines="113" w:line="113" w:lineRule="auto"/>
        <w:jc w:val="left"/>
      </w:pPr>
    </w:p>
    <w:p>
      <w:pPr>
        <w:jc w:val="left"/>
      </w:pPr>
      <w:r>
        <w:rPr>
          <w:rFonts w:hint="eastAsia" w:ascii="楷体" w:eastAsia="楷体"/>
          <w:b/>
          <w:color w:val="0000FF"/>
          <w:sz w:val="24"/>
          <w:szCs w:val="24"/>
          <w:shd w:val="clear" w:color="auto" w:fill="FFFFFF"/>
        </w:rPr>
        <w:t xml:space="preserve"> 《抗规》3.4.3-2条对于侧向刚度不规则的定义为：该层的侧向刚度小于相邻上一层的70%，或小于其上相邻三个楼层侧向刚度平均值的80%；结构并无侧向刚度不规则的情况。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表9-3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78986.13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81094.80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1.16e+5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1.23e+5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2.11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1.46e+5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1.51e+5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1.75</w:t>
            </w:r>
          </w:p>
        </w:tc>
      </w:tr>
    </w:tbl>
    <w:p>
      <w:pPr>
        <w:spacing w:beforeLines="113" w:afterLines="113" w:line="113" w:lineRule="auto"/>
        <w:jc w:val="left"/>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多方向刚度简图</w:t>
      </w:r>
    </w:p>
    <w:p>
      <w:pPr>
        <w:spacing w:beforeLines="113" w:afterLines="113" w:line="113" w:lineRule="auto"/>
        <w:jc w:val="center"/>
      </w:pPr>
    </w:p>
    <w:p>
      <w:pPr>
        <w:jc w:val="center"/>
      </w:pPr>
      <w:r>
        <w:drawing>
          <wp:inline distT="0" distB="0" distL="0" distR="0">
            <wp:extent cx="5399405" cy="5399405"/>
            <wp:effectExtent l="0" t="0" r="10795"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图9-6 多方向刚度比1简图</w:t>
      </w:r>
    </w:p>
    <w:p>
      <w:pPr>
        <w:spacing w:beforeLines="113" w:afterLines="113" w:line="113" w:lineRule="auto"/>
        <w:jc w:val="center"/>
      </w:pPr>
    </w:p>
    <w:p>
      <w:pPr>
        <w:pStyle w:val="3"/>
        <w:jc w:val="left"/>
      </w:pPr>
      <w:bookmarkStart w:id="22" w:name="_Toc22"/>
      <w:r>
        <w:rPr>
          <w:rFonts w:hint="eastAsia" w:ascii="宋体" w:eastAsia="宋体"/>
          <w:b/>
          <w:color w:val="000000"/>
          <w:sz w:val="28"/>
          <w:szCs w:val="28"/>
          <w:shd w:val="clear" w:color="auto" w:fill="FFFFFF"/>
        </w:rPr>
        <w:t>4. 各楼层受剪承载力</w:t>
      </w:r>
      <w:bookmarkEnd w:id="22"/>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表9-4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1342.14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1270.55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1597.38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1684.96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1868.89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1991.69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图9-7 多方向受剪承载力比简图</w:t>
      </w:r>
    </w:p>
    <w:p>
      <w:pPr>
        <w:spacing w:beforeLines="113" w:afterLines="113" w:line="113" w:lineRule="auto"/>
        <w:jc w:val="center"/>
      </w:pPr>
    </w:p>
    <w:p>
      <w:pPr>
        <w:pStyle w:val="3"/>
        <w:jc w:val="left"/>
      </w:pPr>
      <w:bookmarkStart w:id="23" w:name="_Toc23"/>
      <w:r>
        <w:rPr>
          <w:rFonts w:hint="eastAsia" w:ascii="宋体" w:eastAsia="宋体"/>
          <w:b/>
          <w:color w:val="000000"/>
          <w:sz w:val="28"/>
          <w:szCs w:val="28"/>
          <w:shd w:val="clear" w:color="auto" w:fill="FFFFFF"/>
        </w:rPr>
        <w:t>5. 楼层薄弱层调整系数</w:t>
      </w:r>
      <w:bookmarkEnd w:id="23"/>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按抗规判断)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表9-5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24" w:name="_Toc24"/>
      <w:r>
        <w:rPr>
          <w:rFonts w:hint="eastAsia" w:ascii="宋体" w:eastAsia="宋体"/>
          <w:b/>
          <w:color w:val="000000"/>
          <w:sz w:val="32"/>
          <w:szCs w:val="32"/>
          <w:shd w:val="clear" w:color="auto" w:fill="FFFFFF"/>
        </w:rPr>
        <w:t>十. 抗震分析及调整</w:t>
      </w:r>
      <w:bookmarkEnd w:id="24"/>
    </w:p>
    <w:p>
      <w:pPr>
        <w:pStyle w:val="3"/>
        <w:jc w:val="left"/>
      </w:pPr>
      <w:bookmarkStart w:id="25" w:name="_Toc25"/>
      <w:r>
        <w:rPr>
          <w:rFonts w:hint="eastAsia" w:ascii="宋体" w:eastAsia="宋体"/>
          <w:b/>
          <w:color w:val="000000"/>
          <w:sz w:val="28"/>
          <w:szCs w:val="28"/>
          <w:shd w:val="clear" w:color="auto" w:fill="FFFFFF"/>
        </w:rPr>
        <w:t>1. 结构周期及振型方向</w:t>
      </w:r>
      <w:bookmarkEnd w:id="25"/>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-29.21度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0.6671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4.86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0.6529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95.17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0.5458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26.81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0.2448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172.45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0.2416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82.25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0.1981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159.11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jc w:val="center"/>
      </w:pPr>
      <w:r>
        <w:drawing>
          <wp:inline distT="0" distB="0" distL="0" distR="0">
            <wp:extent cx="6479540" cy="5399405"/>
            <wp:effectExtent l="0" t="0" r="12700"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1">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26" w:name="_Toc26"/>
      <w:r>
        <w:rPr>
          <w:rFonts w:hint="eastAsia" w:ascii="宋体" w:eastAsia="宋体"/>
          <w:b/>
          <w:color w:val="000000"/>
          <w:sz w:val="28"/>
          <w:szCs w:val="28"/>
          <w:shd w:val="clear" w:color="auto" w:fill="FFFFFF"/>
        </w:rPr>
        <w:t>2. 结构周期及振型方向(强刚)</w:t>
      </w:r>
      <w:bookmarkEnd w:id="26"/>
    </w:p>
    <w:p>
      <w:pPr>
        <w:spacing w:beforeLines="113" w:afterLines="113" w:line="113" w:lineRule="auto"/>
        <w:jc w:val="center"/>
      </w:pPr>
      <w:r>
        <w:rPr>
          <w:rFonts w:hint="eastAsia" w:ascii="黑体" w:eastAsia="黑体"/>
          <w:b/>
          <w:color w:val="000000"/>
          <w:sz w:val="26"/>
          <w:szCs w:val="26"/>
          <w:shd w:val="clear" w:color="auto" w:fill="FFFFFF"/>
        </w:rPr>
        <w:t>表10-2 结构周期及振型方向(强刚)</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0.6671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4.65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0.6529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95.01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0.5459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29.81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0.2447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172.13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0.2416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82.07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0.1981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161.77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r>
    </w:tbl>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jc w:val="center"/>
      </w:pPr>
      <w:r>
        <w:drawing>
          <wp:inline distT="0" distB="0" distL="0" distR="0">
            <wp:extent cx="6479540" cy="5399405"/>
            <wp:effectExtent l="0" t="0" r="12700"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2">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27" w:name="_Toc27"/>
      <w:r>
        <w:rPr>
          <w:rFonts w:hint="eastAsia" w:ascii="宋体" w:eastAsia="宋体"/>
          <w:b/>
          <w:color w:val="000000"/>
          <w:sz w:val="28"/>
          <w:szCs w:val="28"/>
          <w:shd w:val="clear" w:color="auto" w:fill="FFFFFF"/>
        </w:rPr>
        <w:t>3. 各地震方向参与振型的有效质量系数</w:t>
      </w:r>
      <w:bookmarkEnd w:id="27"/>
    </w:p>
    <w:p>
      <w:pPr>
        <w:spacing w:beforeLines="113" w:afterLines="113" w:line="113" w:lineRule="auto"/>
        <w:jc w:val="center"/>
      </w:pPr>
      <w:r>
        <w:rPr>
          <w:rFonts w:hint="eastAsia" w:ascii="黑体" w:eastAsia="黑体"/>
          <w:b/>
          <w:color w:val="000000"/>
          <w:sz w:val="26"/>
          <w:szCs w:val="26"/>
          <w:shd w:val="clear" w:color="auto" w:fill="FFFFFF"/>
        </w:rPr>
        <w:t>表10-3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83.80%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0.58%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0.68%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84.28%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0.72%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0.47%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0.22%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0.23%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12.31%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97.83%,参与振型足够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97.86%,参与振型足够</w:t>
      </w:r>
    </w:p>
    <w:p>
      <w:pPr>
        <w:spacing w:beforeLines="113" w:afterLines="113" w:line="113" w:lineRule="auto"/>
        <w:jc w:val="left"/>
      </w:pPr>
    </w:p>
    <w:p>
      <w:pPr>
        <w:pStyle w:val="3"/>
        <w:jc w:val="left"/>
      </w:pPr>
      <w:bookmarkStart w:id="28" w:name="_Toc28"/>
      <w:r>
        <w:rPr>
          <w:rFonts w:hint="eastAsia" w:ascii="宋体" w:eastAsia="宋体"/>
          <w:b/>
          <w:color w:val="000000"/>
          <w:sz w:val="28"/>
          <w:szCs w:val="28"/>
          <w:shd w:val="clear" w:color="auto" w:fill="FFFFFF"/>
        </w:rPr>
        <w:t>4. 地震作用下结构剪重比及其调整</w:t>
      </w:r>
      <w:bookmarkEnd w:id="28"/>
    </w:p>
    <w:p>
      <w:pPr>
        <w:spacing w:beforeLines="113" w:afterLines="113" w:line="113" w:lineRule="auto"/>
        <w:jc w:val="left"/>
      </w:pPr>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280.5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10.30%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449.5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8.44%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568.6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6.63%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288.0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10.57%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460.4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8.64%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581.8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6.78%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图10-5 地震各工况最终采用的剪重比调整系数简图</w:t>
      </w:r>
    </w:p>
    <w:p>
      <w:pPr>
        <w:spacing w:beforeLines="113" w:afterLines="113" w:line="113" w:lineRule="auto"/>
        <w:jc w:val="center"/>
      </w:pPr>
    </w:p>
    <w:p>
      <w:pPr>
        <w:pStyle w:val="3"/>
        <w:jc w:val="left"/>
      </w:pPr>
      <w:bookmarkStart w:id="29" w:name="_Toc29"/>
      <w:r>
        <w:rPr>
          <w:rFonts w:hint="eastAsia" w:ascii="宋体" w:eastAsia="宋体"/>
          <w:b/>
          <w:color w:val="000000"/>
          <w:sz w:val="28"/>
          <w:szCs w:val="28"/>
          <w:shd w:val="clear" w:color="auto" w:fill="FFFFFF"/>
        </w:rPr>
        <w:t>5. 偶然偏心信息</w:t>
      </w:r>
      <w:bookmarkEnd w:id="29"/>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30" w:name="_Toc30"/>
      <w:r>
        <w:rPr>
          <w:rFonts w:hint="eastAsia" w:ascii="宋体" w:eastAsia="宋体"/>
          <w:b/>
          <w:color w:val="000000"/>
          <w:sz w:val="32"/>
          <w:szCs w:val="32"/>
          <w:shd w:val="clear" w:color="auto" w:fill="FFFFFF"/>
        </w:rPr>
        <w:t>十一. 结构体系指标及二道防线调整</w:t>
      </w:r>
      <w:bookmarkEnd w:id="30"/>
    </w:p>
    <w:p>
      <w:pPr>
        <w:pStyle w:val="3"/>
        <w:jc w:val="left"/>
      </w:pPr>
      <w:bookmarkStart w:id="31" w:name="_Toc31"/>
      <w:r>
        <w:rPr>
          <w:rFonts w:hint="eastAsia" w:ascii="宋体" w:eastAsia="宋体"/>
          <w:b/>
          <w:color w:val="000000"/>
          <w:sz w:val="28"/>
          <w:szCs w:val="28"/>
          <w:shd w:val="clear" w:color="auto" w:fill="FFFFFF"/>
        </w:rPr>
        <w:t>1. 竖向构件倾覆力矩及百分比(抗规方式)</w:t>
      </w:r>
      <w:bookmarkEnd w:id="31"/>
    </w:p>
    <w:p>
      <w:pPr>
        <w:spacing w:beforeLines="113" w:afterLines="113" w:line="113" w:lineRule="auto"/>
        <w:jc w:val="center"/>
      </w:pPr>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1262.5(100.0%)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1262.5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3015.4(100.0%)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3015.4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5403.5(100.0%)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5403.5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1296.1(100.0%)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1296.1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3091.7(100.0%)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3091.7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5535.2(100.0%)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5535.2</w:t>
            </w:r>
          </w:p>
        </w:tc>
      </w:tr>
    </w:tbl>
    <w:p>
      <w:pPr>
        <w:spacing w:beforeLines="113" w:afterLines="113" w:line="113" w:lineRule="auto"/>
        <w:jc w:val="left"/>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32" w:name="_Toc32"/>
      <w:r>
        <w:rPr>
          <w:rFonts w:hint="eastAsia" w:ascii="宋体" w:eastAsia="宋体"/>
          <w:b/>
          <w:color w:val="000000"/>
          <w:sz w:val="28"/>
          <w:szCs w:val="28"/>
          <w:shd w:val="clear" w:color="auto" w:fill="FFFFFF"/>
        </w:rPr>
        <w:t>2. 竖向构件地震剪力及百分比</w:t>
      </w:r>
      <w:bookmarkEnd w:id="32"/>
    </w:p>
    <w:p>
      <w:pPr>
        <w:spacing w:beforeLines="113" w:afterLines="113" w:line="113" w:lineRule="auto"/>
        <w:jc w:val="center"/>
      </w:pPr>
      <w:r>
        <w:rPr>
          <w:rFonts w:hint="eastAsia" w:ascii="黑体" w:eastAsia="黑体"/>
          <w:b/>
          <w:color w:val="000000"/>
          <w:sz w:val="26"/>
          <w:szCs w:val="26"/>
          <w:shd w:val="clear" w:color="auto" w:fill="FFFFFF"/>
        </w:rPr>
        <w:t>表11-3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280.5(100.0%)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280.5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449.5(100.0%)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449.5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568.6(100.0%)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568.6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288.0(100.0%)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288.0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460.4(100.0%)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581.8(100.0%)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581.8</w:t>
            </w:r>
          </w:p>
        </w:tc>
      </w:tr>
    </w:tbl>
    <w:p>
      <w:pPr>
        <w:spacing w:beforeLines="113" w:afterLines="113" w:line="113" w:lineRule="auto"/>
        <w:jc w:val="left"/>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Y向地震下剪力简图</w:t>
      </w:r>
    </w:p>
    <w:p>
      <w:pPr>
        <w:spacing w:beforeLines="113" w:afterLines="113" w:line="113" w:lineRule="auto"/>
        <w:jc w:val="center"/>
      </w:pPr>
    </w:p>
    <w:p>
      <w:pPr>
        <w:pStyle w:val="16"/>
        <w:jc w:val="center"/>
      </w:pPr>
      <w:bookmarkStart w:id="33" w:name="_Toc33"/>
      <w:r>
        <w:rPr>
          <w:rFonts w:hint="eastAsia" w:ascii="宋体" w:eastAsia="宋体"/>
          <w:b/>
          <w:color w:val="000000"/>
          <w:sz w:val="32"/>
          <w:szCs w:val="32"/>
          <w:shd w:val="clear" w:color="auto" w:fill="FFFFFF"/>
        </w:rPr>
        <w:t>十二. 变形验算</w:t>
      </w:r>
      <w:bookmarkEnd w:id="33"/>
    </w:p>
    <w:p>
      <w:pPr>
        <w:pStyle w:val="3"/>
        <w:jc w:val="left"/>
      </w:pPr>
      <w:bookmarkStart w:id="34" w:name="_Toc34"/>
      <w:r>
        <w:rPr>
          <w:rFonts w:hint="eastAsia" w:ascii="宋体" w:eastAsia="宋体"/>
          <w:b/>
          <w:color w:val="000000"/>
          <w:sz w:val="28"/>
          <w:szCs w:val="28"/>
          <w:shd w:val="clear" w:color="auto" w:fill="FFFFFF"/>
        </w:rPr>
        <w:t>1. 普通结构楼层位移指标统计</w:t>
      </w:r>
      <w:bookmarkEnd w:id="34"/>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12.41(69)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8.54(46)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4.29(17)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12.41（发生在3层1塔）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11.62(71)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7.95(48)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3.96(19)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11.62（发生在3层1塔）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1.03（发生在3层1塔）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12.36(84)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8.46(63)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4.26(39)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12.36（发生在3层1塔）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11.87(69)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8.07(46)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4.13(17)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11.87（发生在3层1塔）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12.19(69)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1/1173(69)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8.45(63)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1/925(63)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4.27(17)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1/983(17)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12.19（发生在3层1塔）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1/925（发生在2层1塔）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11.67(84)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3.72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1/1211(85)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8.04(63)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1/974(63)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4.06(39)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4.06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1/1035(39)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11.67（发生在3层1塔）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1/974（发生在2层1塔）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1.95(69)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1/8019(69)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1.39(63)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1/5921(63)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0.73(17)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1/5731(17)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1.95（发生在3层1塔）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1/5731（发生在1层1塔）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2.10(84)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1/7196(85)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1.48(63)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1/5504(63)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0.78(17)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1/5390(17)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2.10（发生在3层1塔）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1/5390（发生在1层1塔）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3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3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3"/>
        <w:jc w:val="left"/>
      </w:pPr>
      <w:bookmarkStart w:id="35" w:name="_Toc35"/>
      <w:r>
        <w:rPr>
          <w:rFonts w:hint="eastAsia" w:ascii="宋体" w:eastAsia="宋体"/>
          <w:b/>
          <w:color w:val="000000"/>
          <w:sz w:val="28"/>
          <w:szCs w:val="28"/>
          <w:shd w:val="clear" w:color="auto" w:fill="FFFFFF"/>
        </w:rPr>
        <w:t>2. 大震下弹塑性层间位移角</w:t>
      </w:r>
      <w:bookmarkEnd w:id="35"/>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表12-9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1342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0.77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1597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1868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0.71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1684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1991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3636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1/113</w:t>
            </w:r>
          </w:p>
        </w:tc>
      </w:tr>
    </w:tbl>
    <w:p>
      <w:pPr>
        <w:spacing w:beforeLines="113" w:afterLines="113" w:line="113" w:lineRule="auto"/>
        <w:jc w:val="left"/>
      </w:pPr>
    </w:p>
    <w:p>
      <w:pPr>
        <w:pStyle w:val="3"/>
        <w:jc w:val="left"/>
      </w:pPr>
      <w:bookmarkStart w:id="36" w:name="_Toc36"/>
      <w:r>
        <w:rPr>
          <w:rFonts w:hint="eastAsia" w:ascii="宋体" w:eastAsia="宋体"/>
          <w:b/>
          <w:color w:val="000000"/>
          <w:sz w:val="28"/>
          <w:szCs w:val="28"/>
          <w:shd w:val="clear" w:color="auto" w:fill="FFFFFF"/>
        </w:rPr>
        <w:t>3. 普通结构楼层位移指标统计(强刚)</w:t>
      </w:r>
      <w:bookmarkEnd w:id="36"/>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12.41(69)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8.54(46)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4.29(17)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12.41（发生在3层1塔）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11.63(71)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7.96(48)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3.96(19)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11.63（发生在3层1塔）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1.03（发生在3层1塔）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12.36(84)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8.46(63)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4.26(39)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12.36（发生在3层1塔）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1.12（发生在2层1塔）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11.87(69)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8.08(46)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7.59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4.13(17)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3.85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11.87（发生在3层1塔）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1.07（发生在1层1塔）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12.18(69)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1/1173(69)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8.45(46)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1/926(46)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4.27(17)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1/984(17)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12.18（发生在3层1塔）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1/926（发生在2层1塔）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11.66(84)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3.71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1/1212(84)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8.02(63)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3.99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3.73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1/977(63)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4.05(39)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4.05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3.85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1/1037(39)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11.66（发生在3层1塔）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1/977（发生在2层1塔）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1.94(69)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1/8039(69)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1.38(46)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1/5979(46)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0.73(17)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1/5778(17)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1.94（发生在3层1塔）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1/5778（发生在1层1塔）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表12-18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2.08(84)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1/7223(84)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1.47(46)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1/5587(63)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0.79(17)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1/5329(17)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2.08（发生在3层1塔）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1/5329（发生在1层1塔）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jc w:val="center"/>
      </w:pPr>
      <w:r>
        <w:drawing>
          <wp:inline distT="0" distB="0" distL="0" distR="0">
            <wp:extent cx="5399405" cy="5399405"/>
            <wp:effectExtent l="0" t="0" r="10795" b="10795"/>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3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图12-8 最大位移简图</w:t>
      </w:r>
    </w:p>
    <w:p>
      <w:pPr>
        <w:spacing w:beforeLines="113" w:afterLines="113" w:line="113" w:lineRule="auto"/>
        <w:jc w:val="center"/>
      </w:pPr>
    </w:p>
    <w:p>
      <w:pPr>
        <w:jc w:val="center"/>
      </w:pPr>
      <w:r>
        <w:drawing>
          <wp:inline distT="0" distB="0" distL="0" distR="0">
            <wp:extent cx="5399405" cy="5399405"/>
            <wp:effectExtent l="0" t="0" r="10795" b="10795"/>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3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图12-9 平均位移简图</w:t>
      </w:r>
    </w:p>
    <w:p>
      <w:pPr>
        <w:spacing w:beforeLines="113" w:afterLines="113" w:line="113" w:lineRule="auto"/>
        <w:jc w:val="center"/>
      </w:pPr>
    </w:p>
    <w:p>
      <w:pPr>
        <w:jc w:val="center"/>
      </w:pPr>
      <w:r>
        <w:drawing>
          <wp:inline distT="0" distB="0" distL="0" distR="0">
            <wp:extent cx="5399405" cy="5399405"/>
            <wp:effectExtent l="0" t="0" r="10795" b="10795"/>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3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图12-10 最大层间位移简图</w:t>
      </w:r>
    </w:p>
    <w:p>
      <w:pPr>
        <w:spacing w:beforeLines="113" w:afterLines="113" w:line="113" w:lineRule="auto"/>
        <w:jc w:val="center"/>
      </w:pPr>
    </w:p>
    <w:p>
      <w:pPr>
        <w:jc w:val="center"/>
      </w:pPr>
      <w:r>
        <w:drawing>
          <wp:inline distT="0" distB="0" distL="0" distR="0">
            <wp:extent cx="5399405" cy="5399405"/>
            <wp:effectExtent l="0" t="0" r="10795" b="10795"/>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4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图12-11 平均层间位移简图</w:t>
      </w:r>
    </w:p>
    <w:p>
      <w:pPr>
        <w:spacing w:beforeLines="113" w:afterLines="113" w:line="113" w:lineRule="auto"/>
        <w:jc w:val="center"/>
      </w:pPr>
    </w:p>
    <w:p>
      <w:pPr>
        <w:jc w:val="center"/>
      </w:pPr>
      <w:r>
        <w:drawing>
          <wp:inline distT="0" distB="0" distL="0" distR="0">
            <wp:extent cx="5399405" cy="5399405"/>
            <wp:effectExtent l="0" t="0" r="10795" b="10795"/>
            <wp:docPr id="33" name="图片 33"/>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4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图12-12 位移比简图</w:t>
      </w:r>
    </w:p>
    <w:p>
      <w:pPr>
        <w:spacing w:beforeLines="113" w:afterLines="113" w:line="113" w:lineRule="auto"/>
        <w:jc w:val="center"/>
      </w:pPr>
    </w:p>
    <w:p>
      <w:pPr>
        <w:jc w:val="center"/>
      </w:pPr>
      <w:r>
        <w:drawing>
          <wp:inline distT="0" distB="0" distL="0" distR="0">
            <wp:extent cx="5399405" cy="5399405"/>
            <wp:effectExtent l="0" t="0" r="10795" b="10795"/>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4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图12-13 层间位移比简图</w:t>
      </w:r>
    </w:p>
    <w:p>
      <w:pPr>
        <w:spacing w:beforeLines="113" w:afterLines="113" w:line="113" w:lineRule="auto"/>
        <w:jc w:val="center"/>
      </w:pPr>
    </w:p>
    <w:p>
      <w:pPr>
        <w:jc w:val="center"/>
      </w:pPr>
      <w:r>
        <w:drawing>
          <wp:inline distT="0" distB="0" distL="0" distR="0">
            <wp:extent cx="5399405" cy="5399405"/>
            <wp:effectExtent l="0" t="0" r="10795" b="10795"/>
            <wp:docPr id="35" name="图片 35"/>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4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图12-14 最大层间位移角简图</w:t>
      </w:r>
    </w:p>
    <w:p>
      <w:pPr>
        <w:spacing w:beforeLines="113" w:afterLines="113" w:line="113" w:lineRule="auto"/>
        <w:jc w:val="center"/>
      </w:pPr>
    </w:p>
    <w:p>
      <w:pPr>
        <w:pStyle w:val="16"/>
        <w:jc w:val="left"/>
      </w:pPr>
      <w:bookmarkStart w:id="37" w:name="_Toc37"/>
      <w:r>
        <w:rPr>
          <w:rFonts w:hint="eastAsia" w:ascii="宋体" w:eastAsia="宋体"/>
          <w:b/>
          <w:color w:val="000000"/>
          <w:sz w:val="32"/>
          <w:szCs w:val="32"/>
          <w:shd w:val="clear" w:color="auto" w:fill="FFFFFF"/>
        </w:rPr>
        <w:t>十三. 结构顶点风振加速度</w:t>
      </w:r>
      <w:bookmarkEnd w:id="3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0.059</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0.020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0.068</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0.026</w:t>
            </w:r>
          </w:p>
        </w:tc>
      </w:tr>
    </w:tbl>
    <w:p>
      <w:pPr>
        <w:spacing w:beforeLines="113" w:afterLines="113" w:line="113" w:lineRule="auto"/>
        <w:jc w:val="left"/>
      </w:pPr>
    </w:p>
    <w:p>
      <w:pPr>
        <w:pStyle w:val="16"/>
        <w:jc w:val="center"/>
      </w:pPr>
      <w:bookmarkStart w:id="38" w:name="_Toc38"/>
      <w:r>
        <w:rPr>
          <w:rFonts w:hint="eastAsia" w:ascii="宋体" w:eastAsia="宋体"/>
          <w:b/>
          <w:color w:val="000000"/>
          <w:sz w:val="32"/>
          <w:szCs w:val="32"/>
          <w:shd w:val="clear" w:color="auto" w:fill="FFFFFF"/>
        </w:rPr>
        <w:t>十四. 抗倾覆和稳定验算</w:t>
      </w:r>
      <w:bookmarkEnd w:id="38"/>
    </w:p>
    <w:p>
      <w:pPr>
        <w:pStyle w:val="3"/>
        <w:jc w:val="left"/>
      </w:pPr>
      <w:bookmarkStart w:id="39" w:name="_Toc39"/>
      <w:r>
        <w:rPr>
          <w:rFonts w:hint="eastAsia" w:ascii="宋体" w:eastAsia="宋体"/>
          <w:b/>
          <w:color w:val="000000"/>
          <w:sz w:val="28"/>
          <w:szCs w:val="28"/>
          <w:shd w:val="clear" w:color="auto" w:fill="FFFFFF"/>
        </w:rPr>
        <w:t>1. 抗倾覆验算</w:t>
      </w:r>
      <w:bookmarkEnd w:id="3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表14-1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62438.52</w:t>
            </w:r>
          </w:p>
        </w:tc>
        <w:tc>
          <w:tcPr>
            <w:tcW w:w="2551" w:type="dxa"/>
            <w:shd w:val="clear" w:color="auto" w:fill="FFFFFF"/>
          </w:tcPr>
          <w:p>
            <w:pPr>
              <w:jc w:val="center"/>
            </w:pPr>
            <w:r>
              <w:rPr>
                <w:rFonts w:hint="eastAsia" w:ascii="宋体" w:eastAsia="宋体"/>
                <w:b w:val="0"/>
                <w:color w:val="000000"/>
                <w:sz w:val="24"/>
                <w:szCs w:val="24"/>
                <w:shd w:val="clear" w:color="auto" w:fill="FFFFFF"/>
              </w:rPr>
              <w:t>4776.20</w:t>
            </w:r>
          </w:p>
        </w:tc>
        <w:tc>
          <w:tcPr>
            <w:tcW w:w="1984" w:type="dxa"/>
            <w:shd w:val="clear" w:color="auto" w:fill="FFFFFF"/>
          </w:tcPr>
          <w:p>
            <w:pPr>
              <w:jc w:val="center"/>
            </w:pPr>
            <w:r>
              <w:rPr>
                <w:rFonts w:hint="eastAsia" w:ascii="宋体" w:eastAsia="宋体"/>
                <w:b w:val="0"/>
                <w:color w:val="000000"/>
                <w:sz w:val="24"/>
                <w:szCs w:val="24"/>
                <w:shd w:val="clear" w:color="auto" w:fill="FFFFFF"/>
              </w:rPr>
              <w:t>13.07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51795.70</w:t>
            </w:r>
          </w:p>
        </w:tc>
        <w:tc>
          <w:tcPr>
            <w:tcW w:w="2551" w:type="dxa"/>
            <w:shd w:val="clear" w:color="auto" w:fill="FFFFFF"/>
          </w:tcPr>
          <w:p>
            <w:pPr>
              <w:jc w:val="center"/>
            </w:pPr>
            <w:r>
              <w:rPr>
                <w:rFonts w:hint="eastAsia" w:ascii="宋体" w:eastAsia="宋体"/>
                <w:b w:val="0"/>
                <w:color w:val="000000"/>
                <w:sz w:val="24"/>
                <w:szCs w:val="24"/>
                <w:shd w:val="clear" w:color="auto" w:fill="FFFFFF"/>
              </w:rPr>
              <w:t>4887.10</w:t>
            </w:r>
          </w:p>
        </w:tc>
        <w:tc>
          <w:tcPr>
            <w:tcW w:w="1984" w:type="dxa"/>
            <w:shd w:val="clear" w:color="auto" w:fill="FFFFFF"/>
          </w:tcPr>
          <w:p>
            <w:pPr>
              <w:jc w:val="center"/>
            </w:pPr>
            <w:r>
              <w:rPr>
                <w:rFonts w:hint="eastAsia" w:ascii="宋体" w:eastAsia="宋体"/>
                <w:b w:val="0"/>
                <w:color w:val="000000"/>
                <w:sz w:val="24"/>
                <w:szCs w:val="24"/>
                <w:shd w:val="clear" w:color="auto" w:fill="FFFFFF"/>
              </w:rPr>
              <w:t>10.60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64396.55</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865.39</w:t>
            </w:r>
          </w:p>
        </w:tc>
        <w:tc>
          <w:tcPr>
            <w:tcW w:w="1984" w:type="dxa"/>
            <w:shd w:val="clear" w:color="auto" w:fill="FFFFFF"/>
          </w:tcPr>
          <w:p>
            <w:pPr>
              <w:jc w:val="center"/>
            </w:pPr>
            <w:r>
              <w:rPr>
                <w:rFonts w:hint="eastAsia" w:ascii="宋体" w:eastAsia="宋体"/>
                <w:b w:val="0"/>
                <w:color w:val="000000"/>
                <w:sz w:val="24"/>
                <w:szCs w:val="24"/>
                <w:shd w:val="clear" w:color="auto" w:fill="FFFFFF"/>
              </w:rPr>
              <w:t>74.41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53408.56</w:t>
            </w:r>
          </w:p>
        </w:tc>
        <w:tc>
          <w:tcPr>
            <w:tcW w:w="2551" w:type="dxa"/>
            <w:shd w:val="clear" w:color="auto" w:fill="FFFFFF"/>
          </w:tcPr>
          <w:p>
            <w:pPr>
              <w:jc w:val="center"/>
            </w:pPr>
            <w:r>
              <w:rPr>
                <w:rFonts w:hint="eastAsia" w:ascii="宋体" w:eastAsia="宋体"/>
                <w:b w:val="0"/>
                <w:color w:val="000000"/>
                <w:sz w:val="24"/>
                <w:szCs w:val="24"/>
                <w:shd w:val="clear" w:color="auto" w:fill="FFFFFF"/>
              </w:rPr>
              <w:t>1000.75</w:t>
            </w:r>
          </w:p>
        </w:tc>
        <w:tc>
          <w:tcPr>
            <w:tcW w:w="1984" w:type="dxa"/>
            <w:shd w:val="clear" w:color="auto" w:fill="FFFFFF"/>
          </w:tcPr>
          <w:p>
            <w:pPr>
              <w:jc w:val="center"/>
            </w:pPr>
            <w:r>
              <w:rPr>
                <w:rFonts w:hint="eastAsia" w:ascii="宋体" w:eastAsia="宋体"/>
                <w:b w:val="0"/>
                <w:color w:val="000000"/>
                <w:sz w:val="24"/>
                <w:szCs w:val="24"/>
                <w:shd w:val="clear" w:color="auto" w:fill="FFFFFF"/>
              </w:rPr>
              <w:t>53.37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40" w:name="_Toc40"/>
      <w:r>
        <w:rPr>
          <w:rFonts w:hint="eastAsia" w:ascii="宋体" w:eastAsia="宋体"/>
          <w:b/>
          <w:color w:val="000000"/>
          <w:sz w:val="28"/>
          <w:szCs w:val="28"/>
          <w:shd w:val="clear" w:color="auto" w:fill="FFFFFF"/>
        </w:rPr>
        <w:t>2. 整体稳定刚重比验算</w:t>
      </w:r>
      <w:bookmarkEnd w:id="4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表14-2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3</w:t>
            </w:r>
          </w:p>
        </w:tc>
        <w:tc>
          <w:tcPr>
            <w:tcW w:w="1474" w:type="dxa"/>
            <w:shd w:val="clear" w:color="auto" w:fill="FFFFFF"/>
          </w:tcPr>
          <w:p>
            <w:pPr>
              <w:jc w:val="center"/>
            </w:pPr>
            <w:r>
              <w:rPr>
                <w:rFonts w:hint="eastAsia" w:ascii="宋体" w:eastAsia="宋体"/>
                <w:b w:val="0"/>
                <w:color w:val="000000"/>
                <w:sz w:val="24"/>
                <w:szCs w:val="24"/>
                <w:shd w:val="clear" w:color="auto" w:fill="FFFFFF"/>
              </w:rPr>
              <w:t>78980.94</w:t>
            </w:r>
          </w:p>
        </w:tc>
        <w:tc>
          <w:tcPr>
            <w:tcW w:w="1474" w:type="dxa"/>
            <w:shd w:val="clear" w:color="auto" w:fill="FFFFFF"/>
          </w:tcPr>
          <w:p>
            <w:pPr>
              <w:jc w:val="center"/>
            </w:pPr>
            <w:r>
              <w:rPr>
                <w:rFonts w:hint="eastAsia" w:ascii="宋体" w:eastAsia="宋体"/>
                <w:b w:val="0"/>
                <w:color w:val="000000"/>
                <w:sz w:val="24"/>
                <w:szCs w:val="24"/>
                <w:shd w:val="clear" w:color="auto" w:fill="FFFFFF"/>
              </w:rPr>
              <w:t>81090.53</w:t>
            </w:r>
          </w:p>
        </w:tc>
        <w:tc>
          <w:tcPr>
            <w:tcW w:w="1587" w:type="dxa"/>
            <w:shd w:val="clear" w:color="auto" w:fill="FFFFFF"/>
          </w:tcPr>
          <w:p>
            <w:pPr>
              <w:jc w:val="center"/>
            </w:pPr>
            <w:r>
              <w:rPr>
                <w:rFonts w:hint="eastAsia" w:ascii="宋体" w:eastAsia="宋体"/>
                <w:b w:val="0"/>
                <w:color w:val="000000"/>
                <w:sz w:val="24"/>
                <w:szCs w:val="24"/>
                <w:shd w:val="clear" w:color="auto" w:fill="FFFFFF"/>
              </w:rPr>
              <w:t>4.50</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3422.04</w:t>
            </w:r>
          </w:p>
        </w:tc>
        <w:tc>
          <w:tcPr>
            <w:tcW w:w="1417" w:type="dxa"/>
            <w:shd w:val="clear" w:color="auto" w:fill="FFFFFF"/>
          </w:tcPr>
          <w:p>
            <w:pPr>
              <w:jc w:val="center"/>
            </w:pPr>
            <w:r>
              <w:rPr>
                <w:rFonts w:hint="eastAsia" w:ascii="宋体" w:eastAsia="宋体"/>
                <w:b w:val="0"/>
                <w:color w:val="000000"/>
                <w:sz w:val="24"/>
                <w:szCs w:val="24"/>
                <w:shd w:val="clear" w:color="auto" w:fill="FFFFFF"/>
              </w:rPr>
              <w:t>103.86</w:t>
            </w:r>
          </w:p>
        </w:tc>
        <w:tc>
          <w:tcPr>
            <w:tcW w:w="1417" w:type="dxa"/>
            <w:shd w:val="clear" w:color="auto" w:fill="FFFFFF"/>
          </w:tcPr>
          <w:p>
            <w:pPr>
              <w:jc w:val="center"/>
            </w:pPr>
            <w:r>
              <w:rPr>
                <w:rFonts w:hint="eastAsia" w:ascii="宋体" w:eastAsia="宋体"/>
                <w:b w:val="0"/>
                <w:color w:val="000000"/>
                <w:sz w:val="24"/>
                <w:szCs w:val="24"/>
                <w:shd w:val="clear" w:color="auto" w:fill="FFFFFF"/>
              </w:rPr>
              <w:t>106.63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1.16e+5</w:t>
            </w:r>
          </w:p>
        </w:tc>
        <w:tc>
          <w:tcPr>
            <w:tcW w:w="1474" w:type="dxa"/>
            <w:shd w:val="clear" w:color="auto" w:fill="FFFFFF"/>
          </w:tcPr>
          <w:p>
            <w:pPr>
              <w:jc w:val="center"/>
            </w:pPr>
            <w:r>
              <w:rPr>
                <w:rFonts w:hint="eastAsia" w:ascii="宋体" w:eastAsia="宋体"/>
                <w:b w:val="0"/>
                <w:color w:val="000000"/>
                <w:sz w:val="24"/>
                <w:szCs w:val="24"/>
                <w:shd w:val="clear" w:color="auto" w:fill="FFFFFF"/>
              </w:rPr>
              <w:t>1.23e+5</w:t>
            </w:r>
          </w:p>
        </w:tc>
        <w:tc>
          <w:tcPr>
            <w:tcW w:w="1587" w:type="dxa"/>
            <w:shd w:val="clear" w:color="auto" w:fill="FFFFFF"/>
          </w:tcPr>
          <w:p>
            <w:pPr>
              <w:jc w:val="center"/>
            </w:pPr>
            <w:r>
              <w:rPr>
                <w:rFonts w:hint="eastAsia" w:ascii="宋体" w:eastAsia="宋体"/>
                <w:b w:val="0"/>
                <w:color w:val="000000"/>
                <w:sz w:val="24"/>
                <w:szCs w:val="24"/>
                <w:shd w:val="clear" w:color="auto" w:fill="FFFFFF"/>
              </w:rPr>
              <w:t>3.90</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7012.94</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64.75</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68.64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1.46e+5</w:t>
            </w:r>
          </w:p>
        </w:tc>
        <w:tc>
          <w:tcPr>
            <w:tcW w:w="1474" w:type="dxa"/>
            <w:shd w:val="clear" w:color="auto" w:fill="FFFFFF"/>
          </w:tcPr>
          <w:p>
            <w:pPr>
              <w:jc w:val="center"/>
            </w:pPr>
            <w:r>
              <w:rPr>
                <w:rFonts w:hint="eastAsia" w:ascii="宋体" w:eastAsia="宋体"/>
                <w:b w:val="0"/>
                <w:color w:val="000000"/>
                <w:sz w:val="24"/>
                <w:szCs w:val="24"/>
                <w:shd w:val="clear" w:color="auto" w:fill="FFFFFF"/>
              </w:rPr>
              <w:t>1.51e+5</w:t>
            </w:r>
          </w:p>
        </w:tc>
        <w:tc>
          <w:tcPr>
            <w:tcW w:w="1587" w:type="dxa"/>
            <w:shd w:val="clear" w:color="auto" w:fill="FFFFFF"/>
          </w:tcPr>
          <w:p>
            <w:pPr>
              <w:jc w:val="center"/>
            </w:pPr>
            <w:r>
              <w:rPr>
                <w:rFonts w:hint="eastAsia" w:ascii="宋体" w:eastAsia="宋体"/>
                <w:b w:val="0"/>
                <w:color w:val="000000"/>
                <w:sz w:val="24"/>
                <w:szCs w:val="24"/>
                <w:shd w:val="clear" w:color="auto" w:fill="FFFFFF"/>
              </w:rPr>
              <w:t>4.20</w:t>
            </w:r>
          </w:p>
        </w:tc>
        <w:tc>
          <w:tcPr>
            <w:tcW w:w="1417" w:type="dxa"/>
            <w:shd w:val="clear" w:color="auto" w:fill="FFFFFF"/>
          </w:tcPr>
          <w:p>
            <w:pPr>
              <w:jc w:val="center"/>
            </w:pPr>
            <w:r>
              <w:rPr>
                <w:rFonts w:hint="eastAsia" w:ascii="宋体" w:eastAsia="宋体"/>
                <w:b w:val="0"/>
                <w:color w:val="000000"/>
                <w:sz w:val="24"/>
                <w:szCs w:val="24"/>
                <w:shd w:val="clear" w:color="auto" w:fill="FFFFFF"/>
              </w:rPr>
              <w:t>11358.06</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53.90</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55.81</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该结构最小刚重比Di*Hi/Gi（53.90,第1层）不小于20,可以不考虑重力二阶效应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41" w:name="_Toc41"/>
      <w:r>
        <w:rPr>
          <w:rFonts w:hint="eastAsia" w:ascii="宋体" w:eastAsia="宋体"/>
          <w:b/>
          <w:color w:val="000000"/>
          <w:sz w:val="28"/>
          <w:szCs w:val="28"/>
          <w:shd w:val="clear" w:color="auto" w:fill="FFFFFF"/>
        </w:rPr>
        <w:t>3. 二阶效应系数及内力放大</w:t>
      </w:r>
      <w:bookmarkEnd w:id="4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表14-3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78980.94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81090.53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4.50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3422.04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1.16e+5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7012.94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1.46e+5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1.51e+5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11358.06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jc w:val="center"/>
      </w:pPr>
      <w:r>
        <w:drawing>
          <wp:inline distT="0" distB="0" distL="0" distR="0">
            <wp:extent cx="5399405" cy="5399405"/>
            <wp:effectExtent l="0" t="0" r="10795" b="10795"/>
            <wp:docPr id="36" name="图片 36"/>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4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图14-1 多方向二阶效应系数简图</w:t>
      </w:r>
    </w:p>
    <w:p>
      <w:pPr>
        <w:spacing w:beforeLines="113" w:afterLines="113" w:line="113" w:lineRule="auto"/>
        <w:jc w:val="center"/>
      </w:pPr>
    </w:p>
    <w:p>
      <w:pPr>
        <w:pStyle w:val="16"/>
        <w:jc w:val="left"/>
      </w:pPr>
      <w:bookmarkStart w:id="42" w:name="_Toc42"/>
      <w:r>
        <w:rPr>
          <w:rFonts w:hint="eastAsia" w:ascii="宋体" w:eastAsia="宋体"/>
          <w:b/>
          <w:color w:val="000000"/>
          <w:sz w:val="32"/>
          <w:szCs w:val="32"/>
          <w:shd w:val="clear" w:color="auto" w:fill="FFFFFF"/>
        </w:rPr>
        <w:t>十五. 超筋超限信息汇总</w:t>
      </w:r>
      <w:bookmarkEnd w:id="42"/>
    </w:p>
    <w:p>
      <w:pPr>
        <w:spacing w:beforeLines="113" w:afterLines="113" w:line="113" w:lineRule="auto"/>
        <w:jc w:val="left"/>
      </w:pPr>
    </w:p>
    <w:p>
      <w:pPr>
        <w:pStyle w:val="16"/>
        <w:jc w:val="center"/>
      </w:pPr>
      <w:bookmarkStart w:id="43" w:name="_Toc43"/>
      <w:r>
        <w:rPr>
          <w:rFonts w:hint="eastAsia" w:ascii="宋体" w:eastAsia="宋体"/>
          <w:b/>
          <w:color w:val="000000"/>
          <w:sz w:val="32"/>
          <w:szCs w:val="32"/>
          <w:shd w:val="clear" w:color="auto" w:fill="FFFFFF"/>
        </w:rPr>
        <w:t>十六. 结构分析及设计结果简图</w:t>
      </w:r>
      <w:bookmarkEnd w:id="43"/>
    </w:p>
    <w:p>
      <w:pPr>
        <w:pStyle w:val="3"/>
        <w:jc w:val="left"/>
      </w:pPr>
      <w:bookmarkStart w:id="44" w:name="_Toc44"/>
      <w:r>
        <w:rPr>
          <w:rFonts w:hint="eastAsia" w:ascii="宋体" w:eastAsia="宋体"/>
          <w:b/>
          <w:color w:val="000000"/>
          <w:sz w:val="28"/>
          <w:szCs w:val="28"/>
          <w:shd w:val="clear" w:color="auto" w:fill="FFFFFF"/>
        </w:rPr>
        <w:t>1. 结构平面简图</w:t>
      </w:r>
      <w:bookmarkEnd w:id="44"/>
    </w:p>
    <w:p>
      <w:pPr>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pPr>
    </w:p>
    <w:p>
      <w:pPr>
        <w:jc w:val="center"/>
      </w:pPr>
      <w:r>
        <w:drawing>
          <wp:inline distT="0" distB="0" distL="0" distR="0">
            <wp:extent cx="9287510" cy="9503410"/>
            <wp:effectExtent l="0" t="0" r="0" b="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45">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jc w:val="center"/>
      </w:pPr>
      <w:r>
        <w:drawing>
          <wp:inline distT="0" distB="0" distL="0" distR="0">
            <wp:extent cx="9287510" cy="9503410"/>
            <wp:effectExtent l="0" t="0" r="0" b="0"/>
            <wp:docPr id="38" name="图片 38"/>
            <wp:cNvGraphicFramePr/>
            <a:graphic xmlns:a="http://schemas.openxmlformats.org/drawingml/2006/main">
              <a:graphicData uri="http://schemas.openxmlformats.org/drawingml/2006/picture">
                <pic:pic xmlns:pic="http://schemas.openxmlformats.org/drawingml/2006/picture">
                  <pic:nvPicPr>
                    <pic:cNvPr id="38" name="图片 38"/>
                    <pic:cNvPicPr/>
                  </pic:nvPicPr>
                  <pic:blipFill>
                    <a:blip r:embed="rId46">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jc w:val="center"/>
      </w:pPr>
      <w:r>
        <w:drawing>
          <wp:inline distT="0" distB="0" distL="0" distR="0">
            <wp:extent cx="9287510" cy="9503410"/>
            <wp:effectExtent l="0" t="0" r="0" b="0"/>
            <wp:docPr id="39" name="图片 39"/>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47">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"D:\\结构计算分析\\2022\\2-松江便民服务中心\\计算书资料\\pos_AN第3层编号简图.T" </w:instrText>
      </w:r>
      <w:r>
        <w:fldChar w:fldCharType="separate"/>
      </w:r>
      <w:r>
        <w:rPr>
          <w:rFonts w:hint="eastAsia" w:ascii="宋体" w:eastAsia="宋体"/>
          <w:color w:val="000000"/>
          <w:sz w:val="24"/>
          <w:szCs w:val="24"/>
          <w:shd w:val="clear" w:color="auto" w:fill="FFFFFF"/>
        </w:rPr>
        <w:t>图16-3   3层结构平面简图</w:t>
      </w:r>
      <w:r>
        <w:rPr>
          <w:rFonts w:hint="eastAsia" w:ascii="宋体" w:eastAsia="宋体"/>
          <w:color w:val="000000"/>
          <w:sz w:val="24"/>
          <w:szCs w:val="24"/>
          <w:shd w:val="clear" w:color="auto" w:fill="FFFFFF"/>
        </w:rPr>
        <w:fldChar w:fldCharType="end"/>
      </w:r>
    </w:p>
    <w:p>
      <w:pPr>
        <w:pStyle w:val="3"/>
        <w:jc w:val="left"/>
      </w:pPr>
      <w:bookmarkStart w:id="45" w:name="_Toc45"/>
      <w:r>
        <w:rPr>
          <w:rFonts w:hint="eastAsia" w:ascii="宋体" w:eastAsia="宋体"/>
          <w:b/>
          <w:color w:val="000000"/>
          <w:sz w:val="28"/>
          <w:szCs w:val="28"/>
          <w:shd w:val="clear" w:color="auto" w:fill="FFFFFF"/>
        </w:rPr>
        <w:t>2. 荷载简图</w:t>
      </w:r>
      <w:bookmarkEnd w:id="45"/>
    </w:p>
    <w:p>
      <w:pPr>
        <w:jc w:val="center"/>
      </w:pPr>
      <w:r>
        <w:drawing>
          <wp:inline distT="0" distB="0" distL="0" distR="0">
            <wp:extent cx="9287510" cy="914400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8">
                      <a:extLst>
                        <a:ext uri="{28A0092B-C50C-407E-A947-70E740481C1C}">
                          <a14:useLocalDpi xmlns:a14="http://schemas.microsoft.com/office/drawing/2010/main" val="0"/>
                        </a:ext>
                      </a:extLst>
                    </a:blip>
                    <a:stretch>
                      <a:fillRect/>
                    </a:stretch>
                  </pic:blipFill>
                  <pic:spPr>
                    <a:xfrm>
                      <a:off x="0" y="0"/>
                      <a:ext cx="9288000" cy="9144000"/>
                    </a:xfrm>
                    <a:prstGeom prst="rect">
                      <a:avLst/>
                    </a:prstGeom>
                  </pic:spPr>
                </pic:pic>
              </a:graphicData>
            </a:graphic>
          </wp:inline>
        </w:drawing>
      </w:r>
    </w:p>
    <w:p>
      <w:pPr>
        <w:jc w:val="center"/>
      </w:pPr>
      <w:r>
        <w:fldChar w:fldCharType="begin"/>
      </w:r>
      <w:r>
        <w:instrText xml:space="preserve"> HYPERLINK "D:\\结构计算分析\\2022\\2-松江便民服务中心\\计算书资料\\pos_ALOAD第1层荷载简图.T" </w:instrText>
      </w:r>
      <w:r>
        <w:fldChar w:fldCharType="separate"/>
      </w:r>
      <w:r>
        <w:rPr>
          <w:rFonts w:hint="eastAsia" w:ascii="宋体" w:eastAsia="宋体"/>
          <w:color w:val="000000"/>
          <w:sz w:val="24"/>
          <w:szCs w:val="24"/>
          <w:shd w:val="clear" w:color="auto" w:fill="FFFFFF"/>
        </w:rPr>
        <w:t>图16-4   1层荷载简图</w:t>
      </w:r>
      <w:r>
        <w:rPr>
          <w:rFonts w:hint="eastAsia" w:ascii="宋体" w:eastAsia="宋体"/>
          <w:color w:val="000000"/>
          <w:sz w:val="24"/>
          <w:szCs w:val="24"/>
          <w:shd w:val="clear" w:color="auto" w:fill="FFFFFF"/>
        </w:rPr>
        <w:fldChar w:fldCharType="end"/>
      </w:r>
    </w:p>
    <w:p>
      <w:pPr>
        <w:jc w:val="center"/>
      </w:pPr>
      <w:r>
        <w:drawing>
          <wp:inline distT="0" distB="0" distL="0" distR="0">
            <wp:extent cx="9287510" cy="95034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9">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"D:\\结构计算分析\\2022\\2-松江便民服务中心\\计算书资料\\pos_ALOAD第2层荷载简图.T" </w:instrText>
      </w:r>
      <w:r>
        <w:fldChar w:fldCharType="separate"/>
      </w:r>
      <w:r>
        <w:rPr>
          <w:rFonts w:hint="eastAsia" w:ascii="宋体" w:eastAsia="宋体"/>
          <w:color w:val="000000"/>
          <w:sz w:val="24"/>
          <w:szCs w:val="24"/>
          <w:shd w:val="clear" w:color="auto" w:fill="FFFFFF"/>
        </w:rPr>
        <w:t>图16-5   2层荷载简图</w:t>
      </w:r>
      <w:r>
        <w:rPr>
          <w:rFonts w:hint="eastAsia" w:ascii="宋体" w:eastAsia="宋体"/>
          <w:color w:val="000000"/>
          <w:sz w:val="24"/>
          <w:szCs w:val="24"/>
          <w:shd w:val="clear" w:color="auto" w:fill="FFFFFF"/>
        </w:rPr>
        <w:fldChar w:fldCharType="end"/>
      </w:r>
    </w:p>
    <w:p>
      <w:pPr>
        <w:jc w:val="center"/>
      </w:pPr>
      <w:r>
        <w:drawing>
          <wp:inline distT="0" distB="0" distL="0" distR="0">
            <wp:extent cx="9287510" cy="95034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50">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"D:\\结构计算分析\\2022\\2-松江便民服务中心\\计算书资料\\pos_ALOAD第3层荷载简图.T" </w:instrText>
      </w:r>
      <w:r>
        <w:fldChar w:fldCharType="separate"/>
      </w:r>
      <w:r>
        <w:rPr>
          <w:rFonts w:hint="eastAsia" w:ascii="宋体" w:eastAsia="宋体"/>
          <w:color w:val="000000"/>
          <w:sz w:val="24"/>
          <w:szCs w:val="24"/>
          <w:shd w:val="clear" w:color="auto" w:fill="FFFFFF"/>
        </w:rPr>
        <w:t>图16-6   3层荷载简图</w:t>
      </w:r>
      <w:r>
        <w:rPr>
          <w:rFonts w:hint="eastAsia" w:ascii="宋体" w:eastAsia="宋体"/>
          <w:color w:val="000000"/>
          <w:sz w:val="24"/>
          <w:szCs w:val="24"/>
          <w:shd w:val="clear" w:color="auto" w:fill="FFFFFF"/>
        </w:rPr>
        <w:fldChar w:fldCharType="end"/>
      </w:r>
    </w:p>
    <w:p>
      <w:pPr>
        <w:pStyle w:val="3"/>
        <w:jc w:val="left"/>
      </w:pPr>
      <w:bookmarkStart w:id="46" w:name="_Toc46"/>
      <w:r>
        <w:rPr>
          <w:rFonts w:hint="eastAsia" w:ascii="宋体" w:eastAsia="宋体"/>
          <w:b/>
          <w:color w:val="000000"/>
          <w:sz w:val="28"/>
          <w:szCs w:val="28"/>
          <w:shd w:val="clear" w:color="auto" w:fill="FFFFFF"/>
        </w:rPr>
        <w:t>3. 配筋简图</w:t>
      </w:r>
      <w:bookmarkEnd w:id="46"/>
    </w:p>
    <w:p>
      <w:pPr>
        <w:jc w:val="center"/>
      </w:pPr>
      <w:r>
        <w:drawing>
          <wp:inline distT="0" distB="0" distL="0" distR="0">
            <wp:extent cx="9287510" cy="914400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1">
                      <a:extLst>
                        <a:ext uri="{28A0092B-C50C-407E-A947-70E740481C1C}">
                          <a14:useLocalDpi xmlns:a14="http://schemas.microsoft.com/office/drawing/2010/main" val="0"/>
                        </a:ext>
                      </a:extLst>
                    </a:blip>
                    <a:stretch>
                      <a:fillRect/>
                    </a:stretch>
                  </pic:blipFill>
                  <pic:spPr>
                    <a:xfrm>
                      <a:off x="0" y="0"/>
                      <a:ext cx="9288000" cy="9144000"/>
                    </a:xfrm>
                    <a:prstGeom prst="rect">
                      <a:avLst/>
                    </a:prstGeom>
                  </pic:spPr>
                </pic:pic>
              </a:graphicData>
            </a:graphic>
          </wp:inline>
        </w:drawing>
      </w:r>
    </w:p>
    <w:p>
      <w:pPr>
        <w:jc w:val="center"/>
      </w:pPr>
      <w:r>
        <w:fldChar w:fldCharType="begin"/>
      </w:r>
      <w:r>
        <w:instrText xml:space="preserve"> HYPERLINK "D:\\结构计算分析\\2022\\2-松江便民服务中心\\计算书资料\\pos_A第1层混凝土构件配筋及钢构件应力比简图.T" </w:instrText>
      </w:r>
      <w:r>
        <w:fldChar w:fldCharType="separate"/>
      </w:r>
      <w:r>
        <w:rPr>
          <w:rFonts w:hint="eastAsia" w:ascii="宋体" w:eastAsia="宋体"/>
          <w:color w:val="000000"/>
          <w:sz w:val="24"/>
          <w:szCs w:val="24"/>
          <w:shd w:val="clear" w:color="auto" w:fill="FFFFFF"/>
        </w:rPr>
        <w:t>图16-7   1层配筋简图</w:t>
      </w:r>
      <w:r>
        <w:rPr>
          <w:rFonts w:hint="eastAsia" w:ascii="宋体" w:eastAsia="宋体"/>
          <w:color w:val="000000"/>
          <w:sz w:val="24"/>
          <w:szCs w:val="24"/>
          <w:shd w:val="clear" w:color="auto" w:fill="FFFFFF"/>
        </w:rPr>
        <w:fldChar w:fldCharType="end"/>
      </w:r>
    </w:p>
    <w:p>
      <w:pPr>
        <w:jc w:val="center"/>
      </w:pPr>
      <w:r>
        <w:drawing>
          <wp:inline distT="0" distB="0" distL="0" distR="0">
            <wp:extent cx="9287510" cy="95034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2">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"D:\\结构计算分析\\2022\\2-松江便民服务中心\\计算书资料\\pos_A第2层混凝土构件配筋及钢构件应力比简图.T" </w:instrText>
      </w:r>
      <w:r>
        <w:fldChar w:fldCharType="separate"/>
      </w:r>
      <w:r>
        <w:rPr>
          <w:rFonts w:hint="eastAsia" w:ascii="宋体" w:eastAsia="宋体"/>
          <w:color w:val="000000"/>
          <w:sz w:val="24"/>
          <w:szCs w:val="24"/>
          <w:shd w:val="clear" w:color="auto" w:fill="FFFFFF"/>
        </w:rPr>
        <w:t>图16-8   2层配筋简图</w:t>
      </w:r>
      <w:r>
        <w:rPr>
          <w:rFonts w:hint="eastAsia" w:ascii="宋体" w:eastAsia="宋体"/>
          <w:color w:val="000000"/>
          <w:sz w:val="24"/>
          <w:szCs w:val="24"/>
          <w:shd w:val="clear" w:color="auto" w:fill="FFFFFF"/>
        </w:rPr>
        <w:fldChar w:fldCharType="end"/>
      </w:r>
    </w:p>
    <w:p>
      <w:pPr>
        <w:jc w:val="center"/>
      </w:pPr>
      <w:r>
        <w:drawing>
          <wp:inline distT="0" distB="0" distL="0" distR="0">
            <wp:extent cx="9287510" cy="95034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3">
                      <a:extLst>
                        <a:ext uri="{28A0092B-C50C-407E-A947-70E740481C1C}">
                          <a14:useLocalDpi xmlns:a14="http://schemas.microsoft.com/office/drawing/2010/main" val="0"/>
                        </a:ext>
                      </a:extLst>
                    </a:blip>
                    <a:stretch>
                      <a:fillRect/>
                    </a:stretch>
                  </pic:blipFill>
                  <pic:spPr>
                    <a:xfrm>
                      <a:off x="0" y="0"/>
                      <a:ext cx="9288000" cy="9504000"/>
                    </a:xfrm>
                    <a:prstGeom prst="rect">
                      <a:avLst/>
                    </a:prstGeom>
                  </pic:spPr>
                </pic:pic>
              </a:graphicData>
            </a:graphic>
          </wp:inline>
        </w:drawing>
      </w:r>
    </w:p>
    <w:p>
      <w:pPr>
        <w:jc w:val="center"/>
      </w:pPr>
      <w:r>
        <w:fldChar w:fldCharType="begin"/>
      </w:r>
      <w:r>
        <w:instrText xml:space="preserve"> HYPERLINK "D:\\结构计算分析\\2022\\2-松江便民服务中心\\计算书资料\\pos_A第3层混凝土构件配筋及钢构件应力比简图.T" </w:instrText>
      </w:r>
      <w:r>
        <w:fldChar w:fldCharType="separate"/>
      </w:r>
      <w:r>
        <w:rPr>
          <w:rFonts w:hint="eastAsia" w:ascii="宋体" w:eastAsia="宋体"/>
          <w:color w:val="000000"/>
          <w:sz w:val="24"/>
          <w:szCs w:val="24"/>
          <w:shd w:val="clear" w:color="auto" w:fill="FFFFFF"/>
        </w:rPr>
        <w:t>图16-9   3层配筋简图</w:t>
      </w:r>
      <w:r>
        <w:rPr>
          <w:rFonts w:hint="eastAsia" w:ascii="宋体" w:eastAsia="宋体"/>
          <w:color w:val="000000"/>
          <w:sz w:val="24"/>
          <w:szCs w:val="24"/>
          <w:shd w:val="clear" w:color="auto" w:fill="FFFFFF"/>
        </w:rPr>
        <w:fldChar w:fldCharType="end"/>
      </w:r>
    </w:p>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9532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5" Type="http://schemas.openxmlformats.org/officeDocument/2006/relationships/fontTable" Target="fontTable.xml"/><Relationship Id="rId54" Type="http://schemas.openxmlformats.org/officeDocument/2006/relationships/customXml" Target="../customXml/item1.xml"/><Relationship Id="rId53" Type="http://schemas.openxmlformats.org/officeDocument/2006/relationships/image" Target="media/image44.emf"/><Relationship Id="rId52" Type="http://schemas.openxmlformats.org/officeDocument/2006/relationships/image" Target="media/image43.emf"/><Relationship Id="rId51" Type="http://schemas.openxmlformats.org/officeDocument/2006/relationships/image" Target="media/image42.emf"/><Relationship Id="rId50" Type="http://schemas.openxmlformats.org/officeDocument/2006/relationships/image" Target="media/image41.emf"/><Relationship Id="rId5" Type="http://schemas.openxmlformats.org/officeDocument/2006/relationships/header" Target="header2.xml"/><Relationship Id="rId49" Type="http://schemas.openxmlformats.org/officeDocument/2006/relationships/image" Target="media/image40.emf"/><Relationship Id="rId48" Type="http://schemas.openxmlformats.org/officeDocument/2006/relationships/image" Target="media/image39.emf"/><Relationship Id="rId47" Type="http://schemas.openxmlformats.org/officeDocument/2006/relationships/image" Target="media/image38.emf"/><Relationship Id="rId46" Type="http://schemas.openxmlformats.org/officeDocument/2006/relationships/image" Target="media/image37.emf"/><Relationship Id="rId45" Type="http://schemas.openxmlformats.org/officeDocument/2006/relationships/image" Target="media/image36.emf"/><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footer" Target="footer1.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5</TotalTime>
  <ScaleCrop>false</ScaleCrop>
  <LinksUpToDate>false</LinksUpToDate>
  <CharactersWithSpaces>13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2022-02-23T02:11:06Z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787BE6EAEA084CAAA96E3F26FAA51398</vt:lpwstr>
  </property>
</Properties>
</file>